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87F2" w14:textId="18D76FD5" w:rsidR="009F71E6" w:rsidRDefault="0016556B">
      <w:r>
        <w:rPr>
          <w:noProof/>
        </w:rPr>
        <w:drawing>
          <wp:anchor distT="0" distB="0" distL="114300" distR="114300" simplePos="0" relativeHeight="251759616" behindDoc="1" locked="0" layoutInCell="1" allowOverlap="1" wp14:anchorId="074F22F0" wp14:editId="11A7A0E3">
            <wp:simplePos x="0" y="0"/>
            <wp:positionH relativeFrom="margin">
              <wp:align>left</wp:align>
            </wp:positionH>
            <wp:positionV relativeFrom="paragraph">
              <wp:posOffset>-321869</wp:posOffset>
            </wp:positionV>
            <wp:extent cx="1126472" cy="585216"/>
            <wp:effectExtent l="0" t="0" r="0" b="5715"/>
            <wp:wrapNone/>
            <wp:docPr id="32041605"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605" name="Picture 6"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491" cy="58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556B">
        <w:t xml:space="preserve"> </w:t>
      </w:r>
    </w:p>
    <w:p w14:paraId="2CDF170F" w14:textId="07C5768D" w:rsidR="009F71E6" w:rsidRDefault="009F71E6"/>
    <w:p w14:paraId="5B576F84" w14:textId="15E65030" w:rsidR="009415E8" w:rsidRDefault="008752AC">
      <w:pPr>
        <w:rPr>
          <w:rFonts w:ascii="Congenial" w:hAnsi="Congenial"/>
          <w:sz w:val="36"/>
          <w:szCs w:val="36"/>
        </w:rPr>
      </w:pPr>
      <w:r>
        <w:rPr>
          <w:noProof/>
        </w:rPr>
        <mc:AlternateContent>
          <mc:Choice Requires="wps">
            <w:drawing>
              <wp:anchor distT="0" distB="0" distL="114300" distR="114300" simplePos="0" relativeHeight="251598848" behindDoc="0" locked="0" layoutInCell="1" allowOverlap="1" wp14:anchorId="3D4BA576" wp14:editId="7DBE9389">
                <wp:simplePos x="0" y="0"/>
                <wp:positionH relativeFrom="column">
                  <wp:posOffset>-209550</wp:posOffset>
                </wp:positionH>
                <wp:positionV relativeFrom="paragraph">
                  <wp:posOffset>-435610</wp:posOffset>
                </wp:positionV>
                <wp:extent cx="3352800" cy="1018540"/>
                <wp:effectExtent l="0" t="0" r="0" b="0"/>
                <wp:wrapNone/>
                <wp:docPr id="959437356" name="Text Box 1"/>
                <wp:cNvGraphicFramePr/>
                <a:graphic xmlns:a="http://schemas.openxmlformats.org/drawingml/2006/main">
                  <a:graphicData uri="http://schemas.microsoft.com/office/word/2010/wordprocessingShape">
                    <wps:wsp>
                      <wps:cNvSpPr txBox="1"/>
                      <wps:spPr>
                        <a:xfrm>
                          <a:off x="0" y="0"/>
                          <a:ext cx="3352800" cy="1018540"/>
                        </a:xfrm>
                        <a:prstGeom prst="rect">
                          <a:avLst/>
                        </a:prstGeom>
                        <a:solidFill>
                          <a:schemeClr val="lt1"/>
                        </a:solidFill>
                        <a:ln w="6350">
                          <a:noFill/>
                        </a:ln>
                      </wps:spPr>
                      <wps:txbx>
                        <w:txbxContent>
                          <w:p w14:paraId="7AD9A03A" w14:textId="43B4DABA" w:rsidR="002B1095" w:rsidRPr="002B1095" w:rsidRDefault="009F71E6" w:rsidP="009415E8">
                            <w:pPr>
                              <w:spacing w:after="100" w:line="240" w:lineRule="auto"/>
                              <w:jc w:val="right"/>
                              <w:rPr>
                                <w:rFonts w:asciiTheme="majorHAnsi" w:hAnsiTheme="majorHAnsi"/>
                                <w:sz w:val="32"/>
                                <w:szCs w:val="32"/>
                              </w:rPr>
                            </w:pPr>
                            <w:r w:rsidRPr="002B1095">
                              <w:rPr>
                                <w:rFonts w:asciiTheme="majorHAnsi" w:hAnsiTheme="majorHAnsi"/>
                                <w:sz w:val="32"/>
                                <w:szCs w:val="32"/>
                              </w:rPr>
                              <w:t>National Goals on Health Eq</w:t>
                            </w:r>
                            <w:r w:rsidR="00087CCA">
                              <w:rPr>
                                <w:rFonts w:asciiTheme="majorHAnsi" w:hAnsiTheme="majorHAnsi"/>
                                <w:sz w:val="32"/>
                                <w:szCs w:val="32"/>
                              </w:rPr>
                              <w:t>uality</w:t>
                            </w:r>
                          </w:p>
                          <w:p w14:paraId="09E4C4EA" w14:textId="25B6931F" w:rsidR="002B1095" w:rsidRPr="009415E8" w:rsidRDefault="002B1095" w:rsidP="009415E8">
                            <w:pPr>
                              <w:spacing w:after="100" w:line="240" w:lineRule="auto"/>
                              <w:jc w:val="right"/>
                              <w:rPr>
                                <w:rFonts w:ascii="Avenir Next LT Pro Demi" w:hAnsi="Avenir Next LT Pro Demi"/>
                                <w:i/>
                                <w:iCs/>
                                <w:sz w:val="52"/>
                                <w:szCs w:val="52"/>
                              </w:rPr>
                            </w:pPr>
                            <w:r w:rsidRPr="009415E8">
                              <w:rPr>
                                <w:rFonts w:ascii="Avenir Next LT Pro Demi" w:hAnsi="Avenir Next LT Pro Demi"/>
                                <w:i/>
                                <w:iCs/>
                                <w:sz w:val="56"/>
                                <w:szCs w:val="56"/>
                              </w:rPr>
                              <w:t>Issue Brief</w:t>
                            </w:r>
                            <w:r w:rsidR="009415E8">
                              <w:rPr>
                                <w:rFonts w:ascii="Avenir Next LT Pro Demi" w:hAnsi="Avenir Next LT Pro Demi"/>
                                <w:i/>
                                <w:iCs/>
                                <w:sz w:val="56"/>
                                <w:szCs w:val="56"/>
                              </w:rPr>
                              <w:t xml:space="preserve">     </w:t>
                            </w:r>
                          </w:p>
                          <w:p w14:paraId="25EFA5FA" w14:textId="4877DD7B" w:rsidR="009F71E6" w:rsidRPr="009415E8" w:rsidRDefault="009F71E6" w:rsidP="009415E8">
                            <w:pPr>
                              <w:spacing w:after="100" w:line="360" w:lineRule="auto"/>
                              <w:jc w:val="right"/>
                              <w:rPr>
                                <w:rFonts w:ascii="Congenial" w:hAnsi="Congenial"/>
                              </w:rPr>
                            </w:pPr>
                            <w:r w:rsidRPr="009415E8">
                              <w:rPr>
                                <w:rFonts w:ascii="Congenial" w:hAnsi="Congenial"/>
                                <w:sz w:val="32"/>
                                <w:szCs w:val="32"/>
                              </w:rPr>
                              <w:t xml:space="preserve"> </w:t>
                            </w:r>
                            <w:r w:rsidR="00087CCA">
                              <w:rPr>
                                <w:rFonts w:ascii="Congenial" w:hAnsi="Congenial"/>
                              </w:rPr>
                              <w:t>May</w:t>
                            </w:r>
                            <w:r w:rsidRPr="009415E8">
                              <w:rPr>
                                <w:rFonts w:ascii="Congenial" w:hAnsi="Congenial"/>
                              </w:rPr>
                              <w:t xml:space="preserve"> 2025</w:t>
                            </w:r>
                          </w:p>
                        </w:txbxContent>
                      </wps:txbx>
                      <wps:bodyPr rot="0" spcFirstLastPara="0" vertOverflow="overflow" horzOverflow="overflow" vert="horz" wrap="square" lIns="182880" tIns="0" rIns="1828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BA576" id="_x0000_t202" coordsize="21600,21600" o:spt="202" path="m,l,21600r21600,l21600,xe">
                <v:stroke joinstyle="miter"/>
                <v:path gradientshapeok="t" o:connecttype="rect"/>
              </v:shapetype>
              <v:shape id="Text Box 1" o:spid="_x0000_s1026" type="#_x0000_t202" style="position:absolute;margin-left:-16.5pt;margin-top:-34.3pt;width:264pt;height:80.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" fillcolor="white [3201]" stroked="f" strokeweight=".5pt">
                <v:textbox inset="14.4pt,0,14.4pt,0">
                  <w:txbxContent>
                    <w:p w14:paraId="7AD9A03A" w14:textId="43B4DABA" w:rsidR="002B1095" w:rsidRPr="002B1095" w:rsidRDefault="009F71E6" w:rsidP="009415E8">
                      <w:pPr>
                        <w:spacing w:after="100" w:line="240" w:lineRule="auto"/>
                        <w:jc w:val="right"/>
                        <w:rPr>
                          <w:rFonts w:asciiTheme="majorHAnsi" w:hAnsiTheme="majorHAnsi"/>
                          <w:sz w:val="32"/>
                          <w:szCs w:val="32"/>
                        </w:rPr>
                      </w:pPr>
                      <w:r w:rsidRPr="002B1095">
                        <w:rPr>
                          <w:rFonts w:asciiTheme="majorHAnsi" w:hAnsiTheme="majorHAnsi"/>
                          <w:sz w:val="32"/>
                          <w:szCs w:val="32"/>
                        </w:rPr>
                        <w:t>National Goals on Health Eq</w:t>
                      </w:r>
                      <w:r w:rsidR="00087CCA">
                        <w:rPr>
                          <w:rFonts w:asciiTheme="majorHAnsi" w:hAnsiTheme="majorHAnsi"/>
                          <w:sz w:val="32"/>
                          <w:szCs w:val="32"/>
                        </w:rPr>
                        <w:t>uality</w:t>
                      </w:r>
                    </w:p>
                    <w:p w14:paraId="09E4C4EA" w14:textId="25B6931F" w:rsidR="002B1095" w:rsidRPr="009415E8" w:rsidRDefault="002B1095" w:rsidP="009415E8">
                      <w:pPr>
                        <w:spacing w:after="100" w:line="240" w:lineRule="auto"/>
                        <w:jc w:val="right"/>
                        <w:rPr>
                          <w:rFonts w:ascii="Avenir Next LT Pro Demi" w:hAnsi="Avenir Next LT Pro Demi"/>
                          <w:i/>
                          <w:iCs/>
                          <w:sz w:val="52"/>
                          <w:szCs w:val="52"/>
                        </w:rPr>
                      </w:pPr>
                      <w:r w:rsidRPr="009415E8">
                        <w:rPr>
                          <w:rFonts w:ascii="Avenir Next LT Pro Demi" w:hAnsi="Avenir Next LT Pro Demi"/>
                          <w:i/>
                          <w:iCs/>
                          <w:sz w:val="56"/>
                          <w:szCs w:val="56"/>
                        </w:rPr>
                        <w:t>Issue Brief</w:t>
                      </w:r>
                      <w:r w:rsidR="009415E8">
                        <w:rPr>
                          <w:rFonts w:ascii="Avenir Next LT Pro Demi" w:hAnsi="Avenir Next LT Pro Demi"/>
                          <w:i/>
                          <w:iCs/>
                          <w:sz w:val="56"/>
                          <w:szCs w:val="56"/>
                        </w:rPr>
                        <w:t xml:space="preserve">     </w:t>
                      </w:r>
                    </w:p>
                    <w:p w14:paraId="25EFA5FA" w14:textId="4877DD7B" w:rsidR="009F71E6" w:rsidRPr="009415E8" w:rsidRDefault="009F71E6" w:rsidP="009415E8">
                      <w:pPr>
                        <w:spacing w:after="100" w:line="360" w:lineRule="auto"/>
                        <w:jc w:val="right"/>
                        <w:rPr>
                          <w:rFonts w:ascii="Congenial" w:hAnsi="Congenial"/>
                        </w:rPr>
                      </w:pPr>
                      <w:r w:rsidRPr="009415E8">
                        <w:rPr>
                          <w:rFonts w:ascii="Congenial" w:hAnsi="Congenial"/>
                          <w:sz w:val="32"/>
                          <w:szCs w:val="32"/>
                        </w:rPr>
                        <w:t xml:space="preserve"> </w:t>
                      </w:r>
                      <w:r w:rsidR="00087CCA">
                        <w:rPr>
                          <w:rFonts w:ascii="Congenial" w:hAnsi="Congenial"/>
                        </w:rPr>
                        <w:t>May</w:t>
                      </w:r>
                      <w:r w:rsidRPr="009415E8">
                        <w:rPr>
                          <w:rFonts w:ascii="Congenial" w:hAnsi="Congenial"/>
                        </w:rPr>
                        <w:t xml:space="preserve"> 2025</w:t>
                      </w:r>
                    </w:p>
                  </w:txbxContent>
                </v:textbox>
              </v:shape>
            </w:pict>
          </mc:Fallback>
        </mc:AlternateContent>
      </w:r>
    </w:p>
    <w:p w14:paraId="6281140B" w14:textId="319901E3" w:rsidR="009F71E6" w:rsidRDefault="009F71E6"/>
    <w:p w14:paraId="7F6D5B0D" w14:textId="77777777" w:rsidR="00032AB7" w:rsidRDefault="00032AB7" w:rsidP="009415E8">
      <w:pPr>
        <w:ind w:left="-450"/>
        <w:jc w:val="both"/>
        <w:sectPr w:rsidR="00032AB7" w:rsidSect="00E94FCD">
          <w:footerReference w:type="default" r:id="rId11"/>
          <w:pgSz w:w="12240" w:h="15840"/>
          <w:pgMar w:top="1440" w:right="1008" w:bottom="720" w:left="1008" w:header="288" w:footer="432" w:gutter="0"/>
          <w:cols w:num="2" w:space="720"/>
          <w:docGrid w:linePitch="360"/>
        </w:sectPr>
      </w:pPr>
    </w:p>
    <w:p w14:paraId="0176F8F1" w14:textId="216B7076" w:rsidR="00D60E46" w:rsidRPr="00D60E46" w:rsidRDefault="00BC298B" w:rsidP="00D60E46">
      <w:pPr>
        <w:spacing w:after="60" w:line="240" w:lineRule="auto"/>
        <w:ind w:right="-274"/>
        <w:rPr>
          <w:rFonts w:cs="Arial"/>
          <w:sz w:val="22"/>
          <w:szCs w:val="22"/>
          <w:lang w:val="en"/>
        </w:rPr>
      </w:pPr>
      <w:r>
        <w:rPr>
          <w:rFonts w:asciiTheme="majorHAnsi" w:hAnsiTheme="majorHAnsi"/>
          <w:b/>
          <w:bCs/>
          <w:sz w:val="37"/>
          <w:szCs w:val="37"/>
        </w:rPr>
        <w:t xml:space="preserve">An </w:t>
      </w:r>
      <w:r w:rsidR="00111FA8">
        <w:rPr>
          <w:rFonts w:asciiTheme="majorHAnsi" w:hAnsiTheme="majorHAnsi"/>
          <w:b/>
          <w:bCs/>
          <w:sz w:val="37"/>
          <w:szCs w:val="37"/>
        </w:rPr>
        <w:t>Ethic</w:t>
      </w:r>
      <w:r>
        <w:rPr>
          <w:rFonts w:asciiTheme="majorHAnsi" w:hAnsiTheme="majorHAnsi"/>
          <w:b/>
          <w:bCs/>
          <w:sz w:val="37"/>
          <w:szCs w:val="37"/>
        </w:rPr>
        <w:t>al Approach to</w:t>
      </w:r>
      <w:r w:rsidR="00111FA8">
        <w:rPr>
          <w:rFonts w:asciiTheme="majorHAnsi" w:hAnsiTheme="majorHAnsi"/>
          <w:b/>
          <w:bCs/>
          <w:sz w:val="37"/>
          <w:szCs w:val="37"/>
        </w:rPr>
        <w:t xml:space="preserve"> Health </w:t>
      </w:r>
      <w:r w:rsidR="00B03E79">
        <w:rPr>
          <w:rFonts w:asciiTheme="majorHAnsi" w:hAnsiTheme="majorHAnsi"/>
          <w:b/>
          <w:bCs/>
          <w:sz w:val="37"/>
          <w:szCs w:val="37"/>
        </w:rPr>
        <w:t>Equality</w:t>
      </w:r>
      <w:r w:rsidR="00A442BC">
        <w:rPr>
          <w:rFonts w:asciiTheme="majorHAnsi" w:hAnsiTheme="majorHAnsi"/>
          <w:b/>
          <w:bCs/>
          <w:sz w:val="37"/>
          <w:szCs w:val="37"/>
        </w:rPr>
        <w:br/>
      </w:r>
      <w:r w:rsidR="00D60E46" w:rsidRPr="00D60E46">
        <w:rPr>
          <w:rFonts w:cs="Arial"/>
          <w:sz w:val="22"/>
          <w:szCs w:val="22"/>
          <w:lang w:val="en"/>
        </w:rPr>
        <w:t xml:space="preserve">Colleen Roche, Stephanie </w:t>
      </w:r>
      <w:proofErr w:type="spellStart"/>
      <w:r w:rsidR="00D60E46" w:rsidRPr="00D60E46">
        <w:rPr>
          <w:rFonts w:cs="Arial"/>
          <w:sz w:val="22"/>
          <w:szCs w:val="22"/>
          <w:lang w:val="en"/>
        </w:rPr>
        <w:t>Giardano</w:t>
      </w:r>
      <w:proofErr w:type="spellEnd"/>
      <w:r w:rsidR="00D60E46" w:rsidRPr="00D60E46">
        <w:rPr>
          <w:rFonts w:cs="Arial"/>
          <w:sz w:val="22"/>
          <w:szCs w:val="22"/>
          <w:lang w:val="en"/>
        </w:rPr>
        <w:t xml:space="preserve">, Sequaya Tasker, Barbara Kleist, Daniel Brunson, </w:t>
      </w:r>
      <w:r w:rsidR="00967B8F">
        <w:rPr>
          <w:rFonts w:cs="Arial"/>
          <w:sz w:val="22"/>
          <w:szCs w:val="22"/>
          <w:lang w:val="en"/>
        </w:rPr>
        <w:br/>
      </w:r>
      <w:r w:rsidR="00D60E46" w:rsidRPr="00D60E46">
        <w:rPr>
          <w:rFonts w:cs="Arial"/>
          <w:sz w:val="22"/>
          <w:szCs w:val="22"/>
          <w:lang w:val="en"/>
        </w:rPr>
        <w:t>Nate Jackson, and Heather Keith</w:t>
      </w:r>
    </w:p>
    <w:p w14:paraId="714C654D" w14:textId="4C38E1AF" w:rsidR="000F72DE" w:rsidRPr="00D60E46" w:rsidRDefault="000F72DE" w:rsidP="00A442BC">
      <w:pPr>
        <w:spacing w:after="60" w:line="240" w:lineRule="auto"/>
        <w:ind w:right="-274"/>
        <w:rPr>
          <w:rFonts w:asciiTheme="majorHAnsi" w:hAnsiTheme="majorHAnsi"/>
          <w:b/>
          <w:bCs/>
          <w:sz w:val="22"/>
          <w:szCs w:val="22"/>
          <w:lang w:val="en"/>
        </w:rPr>
        <w:sectPr w:rsidR="000F72DE" w:rsidRPr="00D60E46" w:rsidSect="00E94FCD">
          <w:type w:val="continuous"/>
          <w:pgSz w:w="12240" w:h="15840"/>
          <w:pgMar w:top="1440" w:right="1008" w:bottom="720" w:left="1008" w:header="288" w:footer="432" w:gutter="0"/>
          <w:cols w:space="720"/>
          <w:docGrid w:linePitch="360"/>
        </w:sectPr>
      </w:pPr>
    </w:p>
    <w:p w14:paraId="24908935" w14:textId="1B4B660A" w:rsidR="00032AB7" w:rsidRPr="00C10CE5" w:rsidRDefault="00032AB7" w:rsidP="00C10CE5">
      <w:pPr>
        <w:ind w:right="-270"/>
        <w:rPr>
          <w:b/>
          <w:bCs/>
          <w:sz w:val="22"/>
          <w:szCs w:val="22"/>
        </w:rPr>
        <w:sectPr w:rsidR="00032AB7" w:rsidRPr="00C10CE5" w:rsidSect="000F72DE">
          <w:type w:val="continuous"/>
          <w:pgSz w:w="12240" w:h="15840"/>
          <w:pgMar w:top="1440" w:right="1440" w:bottom="720" w:left="1440" w:header="288" w:footer="432" w:gutter="0"/>
          <w:cols w:num="2" w:space="720"/>
          <w:docGrid w:linePitch="360"/>
        </w:sectPr>
      </w:pPr>
    </w:p>
    <w:p w14:paraId="7DD5435D" w14:textId="223325E5" w:rsidR="00BA3BB1" w:rsidRPr="001800E2" w:rsidRDefault="004071AF" w:rsidP="000712E0">
      <w:pPr>
        <w:spacing w:after="60" w:line="240" w:lineRule="auto"/>
        <w:rPr>
          <w:b/>
          <w:sz w:val="22"/>
          <w:szCs w:val="22"/>
          <w:lang w:val="en"/>
        </w:rPr>
      </w:pPr>
      <w:r w:rsidRPr="006A7C19">
        <w:rPr>
          <w:b/>
          <w:bCs/>
          <w:sz w:val="22"/>
          <w:szCs w:val="22"/>
        </w:rPr>
        <w:t>Introduction</w:t>
      </w:r>
      <w:r w:rsidR="00030EC7">
        <w:rPr>
          <w:b/>
          <w:bCs/>
          <w:sz w:val="22"/>
          <w:szCs w:val="22"/>
        </w:rPr>
        <w:br/>
      </w:r>
      <w:r w:rsidR="00175CC5" w:rsidRPr="00175CC5">
        <w:rPr>
          <w:sz w:val="22"/>
          <w:szCs w:val="22"/>
          <w:lang w:val="en"/>
        </w:rPr>
        <w:t>The past half century in the United States has seen a shift in the public system of treatment for people with intellectual and developmental disabilities (IDD) from one that promoted institutionalization to one that focuses on supporting people in their communities. Although significant policy shifts toward recognizing individual rights, supporting autonomy, and inclusion of people with IDD have occurred, inequities persist that impact health. We adopt here a broad definition of “health equ</w:t>
      </w:r>
      <w:r w:rsidR="005F73C8">
        <w:rPr>
          <w:sz w:val="22"/>
          <w:szCs w:val="22"/>
          <w:lang w:val="en"/>
        </w:rPr>
        <w:t>al</w:t>
      </w:r>
      <w:r w:rsidR="00175CC5" w:rsidRPr="00175CC5">
        <w:rPr>
          <w:sz w:val="22"/>
          <w:szCs w:val="22"/>
          <w:lang w:val="en"/>
        </w:rPr>
        <w:t>ity” that encompasses the social determinants of health—the social, economic, and physical conditions in which people are born, grow, live, work, learn, play, worship, and age. It is a good thing to have equitable drivers of health for all members of society, including people with IDD.</w:t>
      </w:r>
      <w:r w:rsidR="00030EC7">
        <w:rPr>
          <w:sz w:val="22"/>
          <w:szCs w:val="22"/>
          <w:lang w:val="en"/>
        </w:rPr>
        <w:br/>
      </w:r>
      <w:r w:rsidR="00BA3BB1" w:rsidRPr="00BA3BB1">
        <w:rPr>
          <w:b/>
          <w:sz w:val="22"/>
          <w:szCs w:val="22"/>
          <w:lang w:val="en"/>
        </w:rPr>
        <w:t xml:space="preserve">Historical Movement Toward Health </w:t>
      </w:r>
      <w:r w:rsidR="00B03E79">
        <w:rPr>
          <w:b/>
          <w:sz w:val="22"/>
          <w:szCs w:val="22"/>
          <w:lang w:val="en"/>
        </w:rPr>
        <w:t>Equality</w:t>
      </w:r>
      <w:r w:rsidR="001800E2">
        <w:rPr>
          <w:b/>
          <w:sz w:val="22"/>
          <w:szCs w:val="22"/>
          <w:lang w:val="en"/>
        </w:rPr>
        <w:br/>
      </w:r>
      <w:r w:rsidR="000712E0" w:rsidRPr="00030EC7">
        <w:rPr>
          <w:iCs/>
          <w:sz w:val="22"/>
          <w:szCs w:val="22"/>
          <w:lang w:val="en"/>
        </w:rPr>
        <w:t xml:space="preserve">     </w:t>
      </w:r>
      <w:r w:rsidR="00030EC7" w:rsidRPr="00B03E79">
        <w:rPr>
          <w:b/>
          <w:bCs/>
          <w:i/>
          <w:sz w:val="22"/>
          <w:szCs w:val="22"/>
          <w:lang w:val="en"/>
        </w:rPr>
        <w:t>Advocacy</w:t>
      </w:r>
      <w:r w:rsidR="00030EC7" w:rsidRPr="00030EC7">
        <w:rPr>
          <w:iCs/>
          <w:sz w:val="22"/>
          <w:szCs w:val="22"/>
          <w:lang w:val="en"/>
        </w:rPr>
        <w:t>. The civil rights movement of the 1960s helped develop a roadmap for disability rights, independent living, self-advocacy, and other advocacy movements to push for deinstitutionalization, access to education, community living, and equal rights. The disability justice movement of the 2000s furthered the principles of these earlier movements, highlighting the barriers of ableism and recognizing the intersectionality of people with IDD.</w:t>
      </w:r>
    </w:p>
    <w:p w14:paraId="2738E0CB" w14:textId="621329C1" w:rsidR="00C36B7E" w:rsidRDefault="00C36B7E" w:rsidP="00C36B7E">
      <w:pPr>
        <w:spacing w:after="60" w:line="240" w:lineRule="auto"/>
        <w:rPr>
          <w:sz w:val="22"/>
          <w:szCs w:val="22"/>
          <w:lang w:val="en"/>
        </w:rPr>
      </w:pPr>
      <w:r>
        <w:rPr>
          <w:b/>
          <w:bCs/>
          <w:i/>
          <w:sz w:val="22"/>
          <w:szCs w:val="22"/>
          <w:lang w:val="en"/>
        </w:rPr>
        <w:t xml:space="preserve">     </w:t>
      </w:r>
      <w:r w:rsidRPr="00BA3BB1">
        <w:rPr>
          <w:b/>
          <w:bCs/>
          <w:i/>
          <w:sz w:val="22"/>
          <w:szCs w:val="22"/>
          <w:lang w:val="en"/>
        </w:rPr>
        <w:t>Defining Legislation</w:t>
      </w:r>
      <w:r w:rsidRPr="00BA3BB1">
        <w:rPr>
          <w:i/>
          <w:sz w:val="22"/>
          <w:szCs w:val="22"/>
          <w:lang w:val="en"/>
        </w:rPr>
        <w:t xml:space="preserve">. </w:t>
      </w:r>
      <w:r w:rsidRPr="00BA3BB1">
        <w:rPr>
          <w:sz w:val="22"/>
          <w:szCs w:val="22"/>
          <w:lang w:val="en"/>
        </w:rPr>
        <w:t xml:space="preserve">Bolstered by the efforts of advocates, federal </w:t>
      </w:r>
      <w:proofErr w:type="gramStart"/>
      <w:r w:rsidRPr="00BA3BB1">
        <w:rPr>
          <w:sz w:val="22"/>
          <w:szCs w:val="22"/>
          <w:lang w:val="en"/>
        </w:rPr>
        <w:t>laws</w:t>
      </w:r>
      <w:r w:rsidR="003B26F0">
        <w:rPr>
          <w:sz w:val="22"/>
          <w:szCs w:val="22"/>
          <w:lang w:val="en"/>
        </w:rPr>
        <w:t>—</w:t>
      </w:r>
      <w:proofErr w:type="gramEnd"/>
      <w:r w:rsidRPr="00BA3BB1">
        <w:rPr>
          <w:sz w:val="22"/>
          <w:szCs w:val="22"/>
          <w:lang w:val="en"/>
        </w:rPr>
        <w:t>including several that emerged from landmark court decisions</w:t>
      </w:r>
      <w:r w:rsidR="003B26F0">
        <w:rPr>
          <w:sz w:val="22"/>
          <w:szCs w:val="22"/>
          <w:lang w:val="en"/>
        </w:rPr>
        <w:t>—</w:t>
      </w:r>
      <w:r w:rsidRPr="00BA3BB1">
        <w:rPr>
          <w:sz w:val="22"/>
          <w:szCs w:val="22"/>
          <w:lang w:val="en"/>
        </w:rPr>
        <w:t xml:space="preserve">have </w:t>
      </w:r>
      <w:r w:rsidRPr="004E166D">
        <w:rPr>
          <w:sz w:val="22"/>
          <w:szCs w:val="22"/>
          <w:lang w:val="en"/>
        </w:rPr>
        <w:t>shaped the current landscape of systems supporting people with IDD. Notable legislation leading to greater access to services, education,</w:t>
      </w:r>
      <w:r w:rsidR="00C673DE" w:rsidRPr="00C673DE">
        <w:rPr>
          <w:sz w:val="22"/>
          <w:szCs w:val="22"/>
          <w:lang w:val="en"/>
        </w:rPr>
        <w:t xml:space="preserve"> </w:t>
      </w:r>
      <w:r w:rsidR="00C673DE" w:rsidRPr="004E166D">
        <w:rPr>
          <w:sz w:val="22"/>
          <w:szCs w:val="22"/>
          <w:lang w:val="en"/>
        </w:rPr>
        <w:t>and the community includes the Rehabilitation</w:t>
      </w:r>
      <w:r w:rsidRPr="004E166D">
        <w:rPr>
          <w:sz w:val="22"/>
          <w:szCs w:val="22"/>
          <w:lang w:val="en"/>
        </w:rPr>
        <w:t xml:space="preserve"> </w:t>
      </w:r>
    </w:p>
    <w:p w14:paraId="36604B63" w14:textId="2A41CE9F" w:rsidR="00C36B7E" w:rsidRPr="00BA3BB1" w:rsidRDefault="00E73C32" w:rsidP="000712E0">
      <w:pPr>
        <w:spacing w:after="60" w:line="240" w:lineRule="auto"/>
        <w:rPr>
          <w:sz w:val="22"/>
          <w:szCs w:val="22"/>
          <w:lang w:val="en"/>
        </w:rPr>
      </w:pPr>
      <w:r w:rsidRPr="00032AB7">
        <w:rPr>
          <w:noProof/>
          <w:sz w:val="22"/>
          <w:szCs w:val="22"/>
          <w:lang w:val="pt-BR"/>
        </w:rPr>
        <mc:AlternateContent>
          <mc:Choice Requires="wps">
            <w:drawing>
              <wp:anchor distT="0" distB="0" distL="114300" distR="114300" simplePos="0" relativeHeight="251709440" behindDoc="0" locked="0" layoutInCell="1" allowOverlap="1" wp14:anchorId="79CE54BF" wp14:editId="0AF0B226">
                <wp:simplePos x="0" y="0"/>
                <wp:positionH relativeFrom="column">
                  <wp:posOffset>0</wp:posOffset>
                </wp:positionH>
                <wp:positionV relativeFrom="paragraph">
                  <wp:posOffset>6984</wp:posOffset>
                </wp:positionV>
                <wp:extent cx="3038475" cy="6543675"/>
                <wp:effectExtent l="0" t="0" r="9525" b="9525"/>
                <wp:wrapNone/>
                <wp:docPr id="1805400597" name="Rectangle 3"/>
                <wp:cNvGraphicFramePr/>
                <a:graphic xmlns:a="http://schemas.openxmlformats.org/drawingml/2006/main">
                  <a:graphicData uri="http://schemas.microsoft.com/office/word/2010/wordprocessingShape">
                    <wps:wsp>
                      <wps:cNvSpPr/>
                      <wps:spPr>
                        <a:xfrm>
                          <a:off x="0" y="0"/>
                          <a:ext cx="3038475" cy="6543675"/>
                        </a:xfrm>
                        <a:prstGeom prst="rect">
                          <a:avLst/>
                        </a:prstGeom>
                        <a:solidFill>
                          <a:schemeClr val="bg2">
                            <a:alpha val="44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7FCA" id="Rectangle 3" o:spid="_x0000_s1026" style="position:absolute;margin-left:0;margin-top:.55pt;width:239.25pt;height:51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" fillcolor="#e8e8e8 [3214]" stroked="f" strokeweight="1pt">
                <v:fill opacity="28784f"/>
              </v:rect>
            </w:pict>
          </mc:Fallback>
        </mc:AlternateContent>
      </w:r>
      <w:r w:rsidRPr="00032AB7">
        <w:rPr>
          <w:noProof/>
          <w:sz w:val="22"/>
          <w:szCs w:val="22"/>
        </w:rPr>
        <mc:AlternateContent>
          <mc:Choice Requires="wps">
            <w:drawing>
              <wp:anchor distT="0" distB="0" distL="114300" distR="114300" simplePos="0" relativeHeight="251758592" behindDoc="0" locked="0" layoutInCell="1" allowOverlap="1" wp14:anchorId="48846DB1" wp14:editId="2A0D4EBA">
                <wp:simplePos x="0" y="0"/>
                <wp:positionH relativeFrom="column">
                  <wp:posOffset>114300</wp:posOffset>
                </wp:positionH>
                <wp:positionV relativeFrom="paragraph">
                  <wp:posOffset>16510</wp:posOffset>
                </wp:positionV>
                <wp:extent cx="2772410" cy="6438900"/>
                <wp:effectExtent l="0" t="0" r="0" b="0"/>
                <wp:wrapNone/>
                <wp:docPr id="1624108239" name="Text Box 1"/>
                <wp:cNvGraphicFramePr/>
                <a:graphic xmlns:a="http://schemas.openxmlformats.org/drawingml/2006/main">
                  <a:graphicData uri="http://schemas.microsoft.com/office/word/2010/wordprocessingShape">
                    <wps:wsp>
                      <wps:cNvSpPr txBox="1"/>
                      <wps:spPr>
                        <a:xfrm>
                          <a:off x="0" y="0"/>
                          <a:ext cx="2772410" cy="6438900"/>
                        </a:xfrm>
                        <a:prstGeom prst="rect">
                          <a:avLst/>
                        </a:prstGeom>
                        <a:solidFill>
                          <a:schemeClr val="lt1">
                            <a:alpha val="0"/>
                          </a:schemeClr>
                        </a:solidFill>
                        <a:ln w="6350">
                          <a:noFill/>
                        </a:ln>
                      </wps:spPr>
                      <wps:txbx>
                        <w:txbxContent>
                          <w:p w14:paraId="5D3E0297" w14:textId="77777777" w:rsidR="00DD1033" w:rsidRPr="00DD1033" w:rsidRDefault="00DD1033" w:rsidP="004605AB">
                            <w:pPr>
                              <w:spacing w:afterLines="30" w:after="72"/>
                              <w:rPr>
                                <w:rFonts w:asciiTheme="majorHAnsi" w:hAnsiTheme="majorHAnsi"/>
                                <w:b/>
                                <w:bCs/>
                              </w:rPr>
                            </w:pPr>
                            <w:r w:rsidRPr="00DD1033">
                              <w:rPr>
                                <w:rFonts w:asciiTheme="majorHAnsi" w:hAnsiTheme="majorHAnsi"/>
                                <w:b/>
                                <w:bCs/>
                              </w:rPr>
                              <w:t>Plain Language Summary</w:t>
                            </w:r>
                          </w:p>
                          <w:p w14:paraId="465649C5" w14:textId="5EABE96F" w:rsidR="00405392" w:rsidRPr="00405392" w:rsidRDefault="00405392" w:rsidP="00405392">
                            <w:pPr>
                              <w:spacing w:afterLines="30" w:after="72" w:line="240" w:lineRule="auto"/>
                              <w:rPr>
                                <w:sz w:val="22"/>
                                <w:szCs w:val="22"/>
                              </w:rPr>
                            </w:pPr>
                            <w:r w:rsidRPr="00405392">
                              <w:rPr>
                                <w:sz w:val="22"/>
                                <w:szCs w:val="22"/>
                              </w:rPr>
                              <w:t xml:space="preserve">Over the last 50 years, the United States has changed how it helps people with intellectual and developmental disabilities (IDD). In the 1960s, people started fighting for the rights of those with disabilities. This led to important laws that gave people with IDD the right to go to school and live independently. </w:t>
                            </w:r>
                          </w:p>
                          <w:p w14:paraId="7758D2B8" w14:textId="77777777" w:rsidR="00405392" w:rsidRPr="00405392" w:rsidRDefault="00405392" w:rsidP="00405392">
                            <w:pPr>
                              <w:spacing w:afterLines="30" w:after="72" w:line="240" w:lineRule="auto"/>
                              <w:rPr>
                                <w:sz w:val="22"/>
                                <w:szCs w:val="22"/>
                              </w:rPr>
                            </w:pPr>
                            <w:r w:rsidRPr="00405392">
                              <w:rPr>
                                <w:sz w:val="22"/>
                                <w:szCs w:val="22"/>
                              </w:rPr>
                              <w:t>Everyone deserves the same chance to be healthy, including people with IDD, but people with IDD still face many challenges to staying healthy:</w:t>
                            </w:r>
                          </w:p>
                          <w:p w14:paraId="2598D9FA"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It can be hard to find doctors who understand their needs.</w:t>
                            </w:r>
                          </w:p>
                          <w:p w14:paraId="73EF0C7B"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Many can't find safe and affordable housing.</w:t>
                            </w:r>
                          </w:p>
                          <w:p w14:paraId="34BEC185"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Less than 20% have regular jobs.</w:t>
                            </w:r>
                          </w:p>
                          <w:p w14:paraId="1512E875"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Transportation is often hard to find.</w:t>
                            </w:r>
                          </w:p>
                          <w:p w14:paraId="116C7B84"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 xml:space="preserve">Some places they need to go are hard to get to.  </w:t>
                            </w:r>
                          </w:p>
                          <w:p w14:paraId="09CB3479" w14:textId="77777777" w:rsidR="00405392" w:rsidRPr="00405392" w:rsidRDefault="00405392" w:rsidP="00405392">
                            <w:pPr>
                              <w:spacing w:afterLines="30" w:after="72" w:line="240" w:lineRule="auto"/>
                              <w:rPr>
                                <w:sz w:val="22"/>
                                <w:szCs w:val="22"/>
                              </w:rPr>
                            </w:pPr>
                            <w:r w:rsidRPr="00405392">
                              <w:rPr>
                                <w:sz w:val="22"/>
                                <w:szCs w:val="22"/>
                              </w:rPr>
                              <w:t>There are two main ways to make things better:</w:t>
                            </w:r>
                          </w:p>
                          <w:p w14:paraId="53A8BE4D" w14:textId="77777777" w:rsidR="00405392" w:rsidRPr="00405392" w:rsidRDefault="00405392" w:rsidP="00405392">
                            <w:pPr>
                              <w:numPr>
                                <w:ilvl w:val="0"/>
                                <w:numId w:val="4"/>
                              </w:numPr>
                              <w:tabs>
                                <w:tab w:val="num" w:pos="720"/>
                              </w:tabs>
                              <w:spacing w:afterLines="30" w:after="72" w:line="240" w:lineRule="auto"/>
                              <w:rPr>
                                <w:sz w:val="22"/>
                                <w:szCs w:val="22"/>
                              </w:rPr>
                            </w:pPr>
                            <w:r w:rsidRPr="00405392">
                              <w:rPr>
                                <w:sz w:val="22"/>
                                <w:szCs w:val="22"/>
                              </w:rPr>
                              <w:t xml:space="preserve">Help each person with IDD set their own health goals and make their own choices about their health. </w:t>
                            </w:r>
                          </w:p>
                          <w:p w14:paraId="0B998098" w14:textId="77777777" w:rsidR="00405392" w:rsidRPr="00405392" w:rsidRDefault="00405392" w:rsidP="00730355">
                            <w:pPr>
                              <w:numPr>
                                <w:ilvl w:val="0"/>
                                <w:numId w:val="4"/>
                              </w:numPr>
                              <w:tabs>
                                <w:tab w:val="num" w:pos="630"/>
                              </w:tabs>
                              <w:spacing w:afterLines="30" w:after="72" w:line="240" w:lineRule="auto"/>
                              <w:rPr>
                                <w:sz w:val="22"/>
                                <w:szCs w:val="22"/>
                              </w:rPr>
                            </w:pPr>
                            <w:r w:rsidRPr="00405392">
                              <w:rPr>
                                <w:sz w:val="22"/>
                                <w:szCs w:val="22"/>
                              </w:rPr>
                              <w:t xml:space="preserve">Include people with IDD in making rules about supports and in doing research about health. </w:t>
                            </w:r>
                          </w:p>
                          <w:p w14:paraId="1519CAF0" w14:textId="3064E6C1" w:rsidR="00DD1033" w:rsidRDefault="00405392" w:rsidP="00730355">
                            <w:pPr>
                              <w:spacing w:afterLines="30" w:after="72" w:line="240" w:lineRule="auto"/>
                            </w:pPr>
                            <w:r w:rsidRPr="00405392">
                              <w:rPr>
                                <w:sz w:val="22"/>
                                <w:szCs w:val="22"/>
                              </w:rPr>
                              <w:t>People with IDD should help make decisions about things that affect their lives. To give people with IDD the same chance at being healthy as everyone else, problems need to be fixed both for individual people and within the whole system.</w:t>
                            </w:r>
                          </w:p>
                          <w:p w14:paraId="198B19B4" w14:textId="77777777" w:rsidR="00DD1033" w:rsidRDefault="00DD1033" w:rsidP="00DD1033"/>
                          <w:p w14:paraId="0865D0EE" w14:textId="77777777" w:rsidR="00DD1033" w:rsidRDefault="00DD1033" w:rsidP="00DD1033"/>
                          <w:p w14:paraId="450CF953" w14:textId="77777777" w:rsidR="00DD1033" w:rsidRDefault="00DD1033" w:rsidP="00DD1033"/>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6DB1" id="_x0000_s1027" type="#_x0000_t202" style="position:absolute;margin-left:9pt;margin-top:1.3pt;width:218.3pt;height:50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" fillcolor="white [3201]" stroked="f" strokeweight=".5pt">
                <v:fill opacity="0"/>
                <v:textbox inset="0,,0,0">
                  <w:txbxContent>
                    <w:p w14:paraId="5D3E0297" w14:textId="77777777" w:rsidR="00DD1033" w:rsidRPr="00DD1033" w:rsidRDefault="00DD1033" w:rsidP="004605AB">
                      <w:pPr>
                        <w:spacing w:afterLines="30" w:after="72"/>
                        <w:rPr>
                          <w:rFonts w:asciiTheme="majorHAnsi" w:hAnsiTheme="majorHAnsi"/>
                          <w:b/>
                          <w:bCs/>
                        </w:rPr>
                      </w:pPr>
                      <w:r w:rsidRPr="00DD1033">
                        <w:rPr>
                          <w:rFonts w:asciiTheme="majorHAnsi" w:hAnsiTheme="majorHAnsi"/>
                          <w:b/>
                          <w:bCs/>
                        </w:rPr>
                        <w:t>Plain Language Summary</w:t>
                      </w:r>
                    </w:p>
                    <w:p w14:paraId="465649C5" w14:textId="5EABE96F" w:rsidR="00405392" w:rsidRPr="00405392" w:rsidRDefault="00405392" w:rsidP="00405392">
                      <w:pPr>
                        <w:spacing w:afterLines="30" w:after="72" w:line="240" w:lineRule="auto"/>
                        <w:rPr>
                          <w:sz w:val="22"/>
                          <w:szCs w:val="22"/>
                        </w:rPr>
                      </w:pPr>
                      <w:r w:rsidRPr="00405392">
                        <w:rPr>
                          <w:sz w:val="22"/>
                          <w:szCs w:val="22"/>
                        </w:rPr>
                        <w:t xml:space="preserve">Over the last 50 years, the United States has changed how it helps people with intellectual and developmental disabilities (IDD). In the 1960s, people started fighting for the rights of those with disabilities. This led to important laws that gave people with IDD the right to go to school and live independently. </w:t>
                      </w:r>
                    </w:p>
                    <w:p w14:paraId="7758D2B8" w14:textId="77777777" w:rsidR="00405392" w:rsidRPr="00405392" w:rsidRDefault="00405392" w:rsidP="00405392">
                      <w:pPr>
                        <w:spacing w:afterLines="30" w:after="72" w:line="240" w:lineRule="auto"/>
                        <w:rPr>
                          <w:sz w:val="22"/>
                          <w:szCs w:val="22"/>
                        </w:rPr>
                      </w:pPr>
                      <w:r w:rsidRPr="00405392">
                        <w:rPr>
                          <w:sz w:val="22"/>
                          <w:szCs w:val="22"/>
                        </w:rPr>
                        <w:t>Everyone deserves the same chance to be healthy, including people with IDD, but people with IDD still face many challenges to staying healthy:</w:t>
                      </w:r>
                    </w:p>
                    <w:p w14:paraId="2598D9FA"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It can be hard to find doctors who understand their needs.</w:t>
                      </w:r>
                    </w:p>
                    <w:p w14:paraId="73EF0C7B"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Many can't find safe and affordable housing.</w:t>
                      </w:r>
                    </w:p>
                    <w:p w14:paraId="34BEC185"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Less than 20% have regular jobs.</w:t>
                      </w:r>
                    </w:p>
                    <w:p w14:paraId="1512E875"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Transportation is often hard to find.</w:t>
                      </w:r>
                    </w:p>
                    <w:p w14:paraId="116C7B84" w14:textId="77777777" w:rsidR="00405392" w:rsidRPr="00405392" w:rsidRDefault="00405392" w:rsidP="00405392">
                      <w:pPr>
                        <w:numPr>
                          <w:ilvl w:val="0"/>
                          <w:numId w:val="3"/>
                        </w:numPr>
                        <w:tabs>
                          <w:tab w:val="num" w:pos="720"/>
                        </w:tabs>
                        <w:spacing w:afterLines="30" w:after="72" w:line="240" w:lineRule="auto"/>
                        <w:rPr>
                          <w:sz w:val="22"/>
                          <w:szCs w:val="22"/>
                        </w:rPr>
                      </w:pPr>
                      <w:r w:rsidRPr="00405392">
                        <w:rPr>
                          <w:sz w:val="22"/>
                          <w:szCs w:val="22"/>
                        </w:rPr>
                        <w:t xml:space="preserve">Some places they need to go are hard to get to.  </w:t>
                      </w:r>
                    </w:p>
                    <w:p w14:paraId="09CB3479" w14:textId="77777777" w:rsidR="00405392" w:rsidRPr="00405392" w:rsidRDefault="00405392" w:rsidP="00405392">
                      <w:pPr>
                        <w:spacing w:afterLines="30" w:after="72" w:line="240" w:lineRule="auto"/>
                        <w:rPr>
                          <w:sz w:val="22"/>
                          <w:szCs w:val="22"/>
                        </w:rPr>
                      </w:pPr>
                      <w:r w:rsidRPr="00405392">
                        <w:rPr>
                          <w:sz w:val="22"/>
                          <w:szCs w:val="22"/>
                        </w:rPr>
                        <w:t>There are two main ways to make things better:</w:t>
                      </w:r>
                    </w:p>
                    <w:p w14:paraId="53A8BE4D" w14:textId="77777777" w:rsidR="00405392" w:rsidRPr="00405392" w:rsidRDefault="00405392" w:rsidP="00405392">
                      <w:pPr>
                        <w:numPr>
                          <w:ilvl w:val="0"/>
                          <w:numId w:val="4"/>
                        </w:numPr>
                        <w:tabs>
                          <w:tab w:val="num" w:pos="720"/>
                        </w:tabs>
                        <w:spacing w:afterLines="30" w:after="72" w:line="240" w:lineRule="auto"/>
                        <w:rPr>
                          <w:sz w:val="22"/>
                          <w:szCs w:val="22"/>
                        </w:rPr>
                      </w:pPr>
                      <w:r w:rsidRPr="00405392">
                        <w:rPr>
                          <w:sz w:val="22"/>
                          <w:szCs w:val="22"/>
                        </w:rPr>
                        <w:t xml:space="preserve">Help each person with IDD set their own health goals and make their own choices about their health. </w:t>
                      </w:r>
                    </w:p>
                    <w:p w14:paraId="0B998098" w14:textId="77777777" w:rsidR="00405392" w:rsidRPr="00405392" w:rsidRDefault="00405392" w:rsidP="00730355">
                      <w:pPr>
                        <w:numPr>
                          <w:ilvl w:val="0"/>
                          <w:numId w:val="4"/>
                        </w:numPr>
                        <w:tabs>
                          <w:tab w:val="num" w:pos="630"/>
                        </w:tabs>
                        <w:spacing w:afterLines="30" w:after="72" w:line="240" w:lineRule="auto"/>
                        <w:rPr>
                          <w:sz w:val="22"/>
                          <w:szCs w:val="22"/>
                        </w:rPr>
                      </w:pPr>
                      <w:r w:rsidRPr="00405392">
                        <w:rPr>
                          <w:sz w:val="22"/>
                          <w:szCs w:val="22"/>
                        </w:rPr>
                        <w:t xml:space="preserve">Include people with IDD in making rules about supports and in doing research about health. </w:t>
                      </w:r>
                    </w:p>
                    <w:p w14:paraId="1519CAF0" w14:textId="3064E6C1" w:rsidR="00DD1033" w:rsidRDefault="00405392" w:rsidP="00730355">
                      <w:pPr>
                        <w:spacing w:afterLines="30" w:after="72" w:line="240" w:lineRule="auto"/>
                      </w:pPr>
                      <w:r w:rsidRPr="00405392">
                        <w:rPr>
                          <w:sz w:val="22"/>
                          <w:szCs w:val="22"/>
                        </w:rPr>
                        <w:t>People with IDD should help make decisions about things that affect their lives. To give people with IDD the same chance at being healthy as everyone else, problems need to be fixed both for individual people and within the whole system.</w:t>
                      </w:r>
                    </w:p>
                    <w:p w14:paraId="198B19B4" w14:textId="77777777" w:rsidR="00DD1033" w:rsidRDefault="00DD1033" w:rsidP="00DD1033"/>
                    <w:p w14:paraId="0865D0EE" w14:textId="77777777" w:rsidR="00DD1033" w:rsidRDefault="00DD1033" w:rsidP="00DD1033"/>
                    <w:p w14:paraId="450CF953" w14:textId="77777777" w:rsidR="00DD1033" w:rsidRDefault="00DD1033" w:rsidP="00DD1033"/>
                  </w:txbxContent>
                </v:textbox>
              </v:shape>
            </w:pict>
          </mc:Fallback>
        </mc:AlternateContent>
      </w:r>
    </w:p>
    <w:p w14:paraId="58D6D729" w14:textId="0CDF6AFC" w:rsidR="00967B8F" w:rsidRDefault="00967B8F" w:rsidP="00142EB2">
      <w:pPr>
        <w:spacing w:after="60" w:line="240" w:lineRule="auto"/>
        <w:ind w:left="360"/>
        <w:rPr>
          <w:sz w:val="22"/>
          <w:szCs w:val="22"/>
        </w:rPr>
      </w:pPr>
    </w:p>
    <w:p w14:paraId="09A00DCD" w14:textId="1EFF489E" w:rsidR="00967B8F" w:rsidRDefault="00967B8F" w:rsidP="00142EB2">
      <w:pPr>
        <w:spacing w:after="60" w:line="240" w:lineRule="auto"/>
        <w:ind w:left="360"/>
        <w:rPr>
          <w:sz w:val="22"/>
          <w:szCs w:val="22"/>
        </w:rPr>
      </w:pPr>
    </w:p>
    <w:p w14:paraId="55562462" w14:textId="193C893C" w:rsidR="00967B8F" w:rsidRDefault="00967B8F" w:rsidP="00142EB2">
      <w:pPr>
        <w:spacing w:after="60" w:line="240" w:lineRule="auto"/>
        <w:ind w:left="360"/>
        <w:rPr>
          <w:sz w:val="22"/>
          <w:szCs w:val="22"/>
        </w:rPr>
      </w:pPr>
    </w:p>
    <w:p w14:paraId="622C47A3" w14:textId="49757A72" w:rsidR="000F72DE" w:rsidRDefault="000F72DE" w:rsidP="00142EB2">
      <w:pPr>
        <w:spacing w:after="60" w:line="240" w:lineRule="auto"/>
        <w:ind w:left="360"/>
        <w:rPr>
          <w:sz w:val="22"/>
          <w:szCs w:val="22"/>
        </w:rPr>
      </w:pPr>
    </w:p>
    <w:p w14:paraId="413253A7" w14:textId="41744EE9" w:rsidR="000F72DE" w:rsidRDefault="000F72DE" w:rsidP="00142EB2">
      <w:pPr>
        <w:spacing w:after="60" w:line="240" w:lineRule="auto"/>
        <w:ind w:left="360"/>
        <w:rPr>
          <w:sz w:val="22"/>
          <w:szCs w:val="22"/>
        </w:rPr>
      </w:pPr>
    </w:p>
    <w:p w14:paraId="58FBB9C8" w14:textId="2EEB98F3" w:rsidR="000F72DE" w:rsidRDefault="000F72DE" w:rsidP="00142EB2">
      <w:pPr>
        <w:spacing w:after="60" w:line="240" w:lineRule="auto"/>
        <w:ind w:left="360"/>
        <w:rPr>
          <w:sz w:val="22"/>
          <w:szCs w:val="22"/>
        </w:rPr>
      </w:pPr>
    </w:p>
    <w:p w14:paraId="11D6DC04" w14:textId="5847F94F" w:rsidR="000F72DE" w:rsidRDefault="000F72DE" w:rsidP="00142EB2">
      <w:pPr>
        <w:spacing w:after="60" w:line="240" w:lineRule="auto"/>
        <w:ind w:left="360"/>
        <w:rPr>
          <w:sz w:val="22"/>
          <w:szCs w:val="22"/>
        </w:rPr>
      </w:pPr>
    </w:p>
    <w:p w14:paraId="3259E6DF" w14:textId="31AAB43E" w:rsidR="000F72DE" w:rsidRDefault="000F72DE" w:rsidP="00142EB2">
      <w:pPr>
        <w:spacing w:after="60" w:line="240" w:lineRule="auto"/>
        <w:ind w:left="360"/>
        <w:rPr>
          <w:sz w:val="22"/>
          <w:szCs w:val="22"/>
        </w:rPr>
      </w:pPr>
    </w:p>
    <w:p w14:paraId="56F6EF37" w14:textId="71FB7522" w:rsidR="000F72DE" w:rsidRDefault="000F72DE" w:rsidP="00142EB2">
      <w:pPr>
        <w:spacing w:after="60" w:line="240" w:lineRule="auto"/>
        <w:ind w:left="360"/>
        <w:rPr>
          <w:sz w:val="22"/>
          <w:szCs w:val="22"/>
        </w:rPr>
      </w:pPr>
    </w:p>
    <w:p w14:paraId="7D79EA97" w14:textId="2437CCE1" w:rsidR="000F72DE" w:rsidRDefault="000F72DE" w:rsidP="00142EB2">
      <w:pPr>
        <w:spacing w:after="60" w:line="240" w:lineRule="auto"/>
        <w:ind w:left="360"/>
        <w:rPr>
          <w:sz w:val="22"/>
          <w:szCs w:val="22"/>
        </w:rPr>
      </w:pPr>
    </w:p>
    <w:p w14:paraId="5EF3B617" w14:textId="77777777" w:rsidR="000F72DE" w:rsidRDefault="000F72DE" w:rsidP="00142EB2">
      <w:pPr>
        <w:spacing w:after="60" w:line="240" w:lineRule="auto"/>
        <w:ind w:left="360"/>
        <w:rPr>
          <w:sz w:val="22"/>
          <w:szCs w:val="22"/>
        </w:rPr>
      </w:pPr>
    </w:p>
    <w:p w14:paraId="20C0692C" w14:textId="50E9BD3B" w:rsidR="000F72DE" w:rsidRDefault="000F72DE" w:rsidP="00142EB2">
      <w:pPr>
        <w:spacing w:after="60" w:line="240" w:lineRule="auto"/>
        <w:ind w:left="360"/>
        <w:rPr>
          <w:sz w:val="22"/>
          <w:szCs w:val="22"/>
        </w:rPr>
      </w:pPr>
    </w:p>
    <w:p w14:paraId="6E665C29" w14:textId="77777777" w:rsidR="000F72DE" w:rsidRDefault="000F72DE" w:rsidP="00142EB2">
      <w:pPr>
        <w:spacing w:after="60" w:line="240" w:lineRule="auto"/>
        <w:ind w:left="360"/>
        <w:rPr>
          <w:sz w:val="22"/>
          <w:szCs w:val="22"/>
        </w:rPr>
      </w:pPr>
    </w:p>
    <w:p w14:paraId="29D3802D" w14:textId="280FED1D" w:rsidR="000F72DE" w:rsidRDefault="000F72DE" w:rsidP="00142EB2">
      <w:pPr>
        <w:spacing w:after="60" w:line="240" w:lineRule="auto"/>
        <w:ind w:left="360"/>
        <w:rPr>
          <w:sz w:val="22"/>
          <w:szCs w:val="22"/>
        </w:rPr>
      </w:pPr>
    </w:p>
    <w:p w14:paraId="55466723" w14:textId="77777777" w:rsidR="000F72DE" w:rsidRDefault="000F72DE" w:rsidP="00142EB2">
      <w:pPr>
        <w:spacing w:after="60" w:line="240" w:lineRule="auto"/>
        <w:ind w:left="360"/>
        <w:rPr>
          <w:sz w:val="22"/>
          <w:szCs w:val="22"/>
        </w:rPr>
      </w:pPr>
    </w:p>
    <w:p w14:paraId="677711AE" w14:textId="77777777" w:rsidR="000F72DE" w:rsidRDefault="000F72DE" w:rsidP="00142EB2">
      <w:pPr>
        <w:spacing w:after="60" w:line="240" w:lineRule="auto"/>
        <w:ind w:left="360"/>
        <w:rPr>
          <w:sz w:val="22"/>
          <w:szCs w:val="22"/>
        </w:rPr>
      </w:pPr>
    </w:p>
    <w:p w14:paraId="13644B25" w14:textId="77777777" w:rsidR="000F72DE" w:rsidRDefault="000F72DE" w:rsidP="00142EB2">
      <w:pPr>
        <w:spacing w:after="60" w:line="240" w:lineRule="auto"/>
        <w:ind w:left="360"/>
        <w:rPr>
          <w:sz w:val="22"/>
          <w:szCs w:val="22"/>
        </w:rPr>
      </w:pPr>
    </w:p>
    <w:p w14:paraId="63D4277E" w14:textId="336C8A61" w:rsidR="000F72DE" w:rsidRDefault="000F72DE" w:rsidP="00142EB2">
      <w:pPr>
        <w:spacing w:after="60" w:line="240" w:lineRule="auto"/>
        <w:ind w:left="360"/>
        <w:rPr>
          <w:sz w:val="22"/>
          <w:szCs w:val="22"/>
        </w:rPr>
      </w:pPr>
    </w:p>
    <w:p w14:paraId="4A825BE6" w14:textId="77777777" w:rsidR="000F72DE" w:rsidRDefault="000F72DE" w:rsidP="00142EB2">
      <w:pPr>
        <w:spacing w:after="60" w:line="240" w:lineRule="auto"/>
        <w:ind w:left="360"/>
        <w:rPr>
          <w:sz w:val="22"/>
          <w:szCs w:val="22"/>
        </w:rPr>
      </w:pPr>
    </w:p>
    <w:p w14:paraId="265617C9" w14:textId="77777777" w:rsidR="000F72DE" w:rsidRDefault="000F72DE" w:rsidP="00142EB2">
      <w:pPr>
        <w:spacing w:after="60" w:line="240" w:lineRule="auto"/>
        <w:ind w:left="360"/>
        <w:rPr>
          <w:sz w:val="22"/>
          <w:szCs w:val="22"/>
        </w:rPr>
      </w:pPr>
    </w:p>
    <w:p w14:paraId="27DA4263" w14:textId="30F840F2" w:rsidR="000F72DE" w:rsidRDefault="000F72DE" w:rsidP="00142EB2">
      <w:pPr>
        <w:spacing w:after="60" w:line="240" w:lineRule="auto"/>
        <w:ind w:left="360"/>
        <w:rPr>
          <w:sz w:val="22"/>
          <w:szCs w:val="22"/>
        </w:rPr>
      </w:pPr>
    </w:p>
    <w:p w14:paraId="4E18C910" w14:textId="77777777" w:rsidR="00C36B7E" w:rsidRDefault="00C36B7E" w:rsidP="00142EB2">
      <w:pPr>
        <w:spacing w:after="60" w:line="240" w:lineRule="auto"/>
        <w:ind w:left="360"/>
        <w:rPr>
          <w:sz w:val="22"/>
          <w:szCs w:val="22"/>
        </w:rPr>
      </w:pPr>
    </w:p>
    <w:p w14:paraId="4726D4E0" w14:textId="77777777" w:rsidR="00C36B7E" w:rsidRDefault="00C36B7E" w:rsidP="00142EB2">
      <w:pPr>
        <w:spacing w:after="60" w:line="240" w:lineRule="auto"/>
        <w:ind w:left="360"/>
        <w:rPr>
          <w:sz w:val="22"/>
          <w:szCs w:val="22"/>
        </w:rPr>
      </w:pPr>
    </w:p>
    <w:p w14:paraId="13475D7B" w14:textId="77777777" w:rsidR="00C36B7E" w:rsidRDefault="00C36B7E" w:rsidP="00142EB2">
      <w:pPr>
        <w:spacing w:after="60" w:line="240" w:lineRule="auto"/>
        <w:ind w:left="360"/>
        <w:rPr>
          <w:sz w:val="22"/>
          <w:szCs w:val="22"/>
        </w:rPr>
      </w:pPr>
    </w:p>
    <w:p w14:paraId="378920D5" w14:textId="77777777" w:rsidR="000F72DE" w:rsidRDefault="000F72DE" w:rsidP="00142EB2">
      <w:pPr>
        <w:spacing w:after="60" w:line="240" w:lineRule="auto"/>
        <w:ind w:left="360"/>
        <w:rPr>
          <w:sz w:val="22"/>
          <w:szCs w:val="22"/>
        </w:rPr>
      </w:pPr>
    </w:p>
    <w:p w14:paraId="3C40CEBD" w14:textId="77777777" w:rsidR="00C36B7E" w:rsidRDefault="00C36B7E" w:rsidP="00142EB2">
      <w:pPr>
        <w:spacing w:after="60" w:line="240" w:lineRule="auto"/>
        <w:ind w:left="360"/>
        <w:rPr>
          <w:sz w:val="22"/>
          <w:szCs w:val="22"/>
        </w:rPr>
      </w:pPr>
    </w:p>
    <w:p w14:paraId="31F09424" w14:textId="77777777" w:rsidR="00D417F8" w:rsidRDefault="00D417F8" w:rsidP="00142EB2">
      <w:pPr>
        <w:spacing w:after="60" w:line="240" w:lineRule="auto"/>
        <w:ind w:left="360"/>
        <w:rPr>
          <w:sz w:val="22"/>
          <w:szCs w:val="22"/>
        </w:rPr>
      </w:pPr>
    </w:p>
    <w:p w14:paraId="0AF9B6FD" w14:textId="77777777" w:rsidR="00D417F8" w:rsidRDefault="00D417F8" w:rsidP="00142EB2">
      <w:pPr>
        <w:spacing w:after="60" w:line="240" w:lineRule="auto"/>
        <w:ind w:left="360"/>
        <w:rPr>
          <w:sz w:val="22"/>
          <w:szCs w:val="22"/>
        </w:rPr>
      </w:pPr>
    </w:p>
    <w:p w14:paraId="1CF77DE0" w14:textId="2283B903" w:rsidR="005411E1" w:rsidRDefault="005411E1" w:rsidP="00142EB2">
      <w:pPr>
        <w:spacing w:after="60" w:line="240" w:lineRule="auto"/>
        <w:ind w:left="360"/>
        <w:rPr>
          <w:sz w:val="22"/>
          <w:szCs w:val="22"/>
        </w:rPr>
      </w:pPr>
    </w:p>
    <w:p w14:paraId="1AD7241A" w14:textId="77777777" w:rsidR="005411E1" w:rsidRDefault="005411E1" w:rsidP="000C3435">
      <w:pPr>
        <w:spacing w:after="60" w:line="240" w:lineRule="auto"/>
        <w:rPr>
          <w:sz w:val="22"/>
          <w:szCs w:val="22"/>
        </w:rPr>
        <w:sectPr w:rsidR="005411E1" w:rsidSect="006F7468">
          <w:type w:val="continuous"/>
          <w:pgSz w:w="12240" w:h="15840"/>
          <w:pgMar w:top="1440" w:right="1008" w:bottom="720" w:left="1008" w:header="288" w:footer="432" w:gutter="0"/>
          <w:cols w:num="2" w:space="720"/>
          <w:docGrid w:linePitch="360"/>
        </w:sectPr>
      </w:pPr>
    </w:p>
    <w:p w14:paraId="44380927" w14:textId="77777777" w:rsidR="00D04B04" w:rsidRDefault="00D04B04" w:rsidP="006F7468">
      <w:pPr>
        <w:spacing w:after="60" w:line="240" w:lineRule="auto"/>
        <w:rPr>
          <w:sz w:val="22"/>
          <w:szCs w:val="22"/>
          <w:lang w:val="en"/>
        </w:rPr>
      </w:pPr>
    </w:p>
    <w:p w14:paraId="02436036" w14:textId="77777777" w:rsidR="00EA3DE9" w:rsidRDefault="00EA3DE9" w:rsidP="006F7468">
      <w:pPr>
        <w:spacing w:after="60" w:line="240" w:lineRule="auto"/>
        <w:rPr>
          <w:sz w:val="22"/>
          <w:szCs w:val="22"/>
          <w:lang w:val="en"/>
        </w:rPr>
        <w:sectPr w:rsidR="00EA3DE9" w:rsidSect="00CC1327">
          <w:footerReference w:type="default" r:id="rId12"/>
          <w:type w:val="continuous"/>
          <w:pgSz w:w="12240" w:h="15840"/>
          <w:pgMar w:top="720" w:right="1008" w:bottom="720" w:left="1008" w:header="288" w:footer="432" w:gutter="0"/>
          <w:pgNumType w:start="1"/>
          <w:cols w:space="720"/>
          <w:docGrid w:linePitch="326"/>
        </w:sectPr>
      </w:pPr>
    </w:p>
    <w:p w14:paraId="0A66C23F" w14:textId="4615336C" w:rsidR="002C49B9" w:rsidRDefault="006F7468" w:rsidP="002C49B9">
      <w:pPr>
        <w:spacing w:after="60" w:line="240" w:lineRule="auto"/>
        <w:rPr>
          <w:sz w:val="22"/>
          <w:szCs w:val="22"/>
          <w:lang w:val="en"/>
        </w:rPr>
      </w:pPr>
      <w:r w:rsidRPr="004E166D">
        <w:rPr>
          <w:sz w:val="22"/>
          <w:szCs w:val="22"/>
          <w:lang w:val="en"/>
        </w:rPr>
        <w:lastRenderedPageBreak/>
        <w:t>Act of 1973, the Developmental Disabilities and Bill of Rights Act of 1975, the Individuals with Disabilities Education Act of 1975, and the Americans with Disabilities Acts of 1990 and 2010.</w:t>
      </w:r>
      <w:r w:rsidR="0000251B">
        <w:rPr>
          <w:sz w:val="22"/>
          <w:szCs w:val="22"/>
          <w:lang w:val="en"/>
        </w:rPr>
        <w:br/>
      </w:r>
      <w:r w:rsidR="004E166D" w:rsidRPr="004E166D">
        <w:rPr>
          <w:b/>
          <w:bCs/>
          <w:sz w:val="22"/>
          <w:szCs w:val="22"/>
          <w:lang w:val="en"/>
        </w:rPr>
        <w:t xml:space="preserve">Persistent Challenges to Health </w:t>
      </w:r>
      <w:r w:rsidR="00B03E79">
        <w:rPr>
          <w:b/>
          <w:bCs/>
          <w:sz w:val="22"/>
          <w:szCs w:val="22"/>
          <w:lang w:val="en"/>
        </w:rPr>
        <w:t>Equality</w:t>
      </w:r>
      <w:r w:rsidR="00472FFE">
        <w:rPr>
          <w:b/>
          <w:bCs/>
          <w:sz w:val="22"/>
          <w:szCs w:val="22"/>
          <w:lang w:val="en"/>
        </w:rPr>
        <w:br/>
      </w:r>
      <w:r w:rsidR="00472FFE" w:rsidRPr="004E166D">
        <w:rPr>
          <w:sz w:val="22"/>
          <w:szCs w:val="22"/>
          <w:lang w:val="en"/>
        </w:rPr>
        <w:t>While the trajectory of advocacy and legislation has been toward more inclusion and equitable treatment of people with IDD, significant barriers to health equ</w:t>
      </w:r>
      <w:r w:rsidR="005F65A4">
        <w:rPr>
          <w:sz w:val="22"/>
          <w:szCs w:val="22"/>
          <w:lang w:val="en"/>
        </w:rPr>
        <w:t>al</w:t>
      </w:r>
      <w:r w:rsidR="00472FFE" w:rsidRPr="004E166D">
        <w:rPr>
          <w:sz w:val="22"/>
          <w:szCs w:val="22"/>
          <w:lang w:val="en"/>
        </w:rPr>
        <w:t xml:space="preserve">ity persist. Compared with those without disability, people with IDD have lower access to those social, economic, and physical conditions that are </w:t>
      </w:r>
      <w:proofErr w:type="gramStart"/>
      <w:r w:rsidR="00472FFE" w:rsidRPr="004E166D">
        <w:rPr>
          <w:sz w:val="22"/>
          <w:szCs w:val="22"/>
          <w:lang w:val="en"/>
        </w:rPr>
        <w:t>known</w:t>
      </w:r>
      <w:proofErr w:type="gramEnd"/>
      <w:r w:rsidR="00472FFE" w:rsidRPr="004E166D">
        <w:rPr>
          <w:sz w:val="22"/>
          <w:szCs w:val="22"/>
          <w:lang w:val="en"/>
        </w:rPr>
        <w:t xml:space="preserve"> social determinants of good health, and they have poorer health outcomes across their lifespans. </w:t>
      </w:r>
      <w:r w:rsidR="00472FFE">
        <w:rPr>
          <w:sz w:val="22"/>
          <w:szCs w:val="22"/>
          <w:lang w:val="en"/>
        </w:rPr>
        <w:br/>
      </w:r>
      <w:r w:rsidR="00472FFE">
        <w:rPr>
          <w:b/>
          <w:bCs/>
          <w:i/>
          <w:sz w:val="22"/>
          <w:szCs w:val="22"/>
          <w:lang w:val="en"/>
        </w:rPr>
        <w:t xml:space="preserve">     </w:t>
      </w:r>
      <w:r w:rsidR="00472FFE" w:rsidRPr="004E166D">
        <w:rPr>
          <w:b/>
          <w:bCs/>
          <w:i/>
          <w:sz w:val="22"/>
          <w:szCs w:val="22"/>
          <w:lang w:val="en"/>
        </w:rPr>
        <w:t>Healthcare Access.</w:t>
      </w:r>
      <w:r w:rsidR="00472FFE" w:rsidRPr="004E166D">
        <w:rPr>
          <w:i/>
          <w:sz w:val="22"/>
          <w:szCs w:val="22"/>
          <w:lang w:val="en"/>
        </w:rPr>
        <w:t xml:space="preserve"> </w:t>
      </w:r>
      <w:proofErr w:type="gramStart"/>
      <w:r w:rsidR="00472FFE" w:rsidRPr="004E166D">
        <w:rPr>
          <w:sz w:val="22"/>
          <w:szCs w:val="22"/>
          <w:lang w:val="en"/>
        </w:rPr>
        <w:t>A number of</w:t>
      </w:r>
      <w:proofErr w:type="gramEnd"/>
      <w:r w:rsidR="00472FFE" w:rsidRPr="004E166D">
        <w:rPr>
          <w:sz w:val="22"/>
          <w:szCs w:val="22"/>
          <w:lang w:val="en"/>
        </w:rPr>
        <w:t xml:space="preserve"> factors create barriers for people with IDD to accessing healthcare, including ableism, physical inaccessibility of treatment locations, transportation limitations, limitations in knowledge about disability among healthcare professionals, and communication barriers with healthcare professionals. In addition, typical insurance practices often serve to prevent people with disabilities from being able to see the doctors they need as long and/or as frequently as they need to have optimal health outcomes.</w:t>
      </w:r>
      <w:r w:rsidR="00472FFE">
        <w:rPr>
          <w:sz w:val="22"/>
          <w:szCs w:val="22"/>
          <w:lang w:val="en"/>
        </w:rPr>
        <w:br/>
      </w:r>
      <w:r w:rsidR="00472FFE">
        <w:rPr>
          <w:b/>
          <w:bCs/>
          <w:i/>
          <w:sz w:val="22"/>
          <w:szCs w:val="22"/>
          <w:lang w:val="en"/>
        </w:rPr>
        <w:t xml:space="preserve">     </w:t>
      </w:r>
      <w:r w:rsidR="00472FFE" w:rsidRPr="004E166D">
        <w:rPr>
          <w:b/>
          <w:bCs/>
          <w:i/>
          <w:sz w:val="22"/>
          <w:szCs w:val="22"/>
          <w:lang w:val="en"/>
        </w:rPr>
        <w:t>Community and Housing.</w:t>
      </w:r>
      <w:r w:rsidR="00472FFE" w:rsidRPr="004E166D">
        <w:rPr>
          <w:i/>
          <w:sz w:val="22"/>
          <w:szCs w:val="22"/>
          <w:lang w:val="en"/>
        </w:rPr>
        <w:t xml:space="preserve"> </w:t>
      </w:r>
      <w:proofErr w:type="gramStart"/>
      <w:r w:rsidR="00472FFE" w:rsidRPr="004E166D">
        <w:rPr>
          <w:sz w:val="22"/>
          <w:szCs w:val="22"/>
          <w:lang w:val="en"/>
        </w:rPr>
        <w:t>A number of</w:t>
      </w:r>
      <w:proofErr w:type="gramEnd"/>
      <w:r w:rsidR="00472FFE" w:rsidRPr="004E166D">
        <w:rPr>
          <w:sz w:val="22"/>
          <w:szCs w:val="22"/>
          <w:lang w:val="en"/>
        </w:rPr>
        <w:t xml:space="preserve"> factors create barriers for people with IDD to</w:t>
      </w:r>
      <w:r w:rsidR="00472FFE" w:rsidRPr="004E166D" w:rsidDel="00B814D0">
        <w:rPr>
          <w:sz w:val="22"/>
          <w:szCs w:val="22"/>
          <w:lang w:val="en"/>
        </w:rPr>
        <w:t xml:space="preserve"> </w:t>
      </w:r>
      <w:r w:rsidR="00472FFE" w:rsidRPr="004E166D">
        <w:rPr>
          <w:sz w:val="22"/>
          <w:szCs w:val="22"/>
          <w:lang w:val="en"/>
        </w:rPr>
        <w:t xml:space="preserve">living optimally healthy lives in their communities, such as the limited stock of safe, affordable, and accessible housing. In addition, ableism, transportation limitations, and physical inaccessibility of recreational and other social activities contribute to poor health outcomes. </w:t>
      </w:r>
      <w:r w:rsidR="00472FFE">
        <w:rPr>
          <w:sz w:val="22"/>
          <w:szCs w:val="22"/>
          <w:lang w:val="en"/>
        </w:rPr>
        <w:br/>
      </w:r>
      <w:r w:rsidR="00472FFE">
        <w:rPr>
          <w:b/>
          <w:bCs/>
          <w:i/>
          <w:sz w:val="22"/>
          <w:szCs w:val="22"/>
          <w:lang w:val="en"/>
        </w:rPr>
        <w:t xml:space="preserve">     </w:t>
      </w:r>
      <w:r w:rsidR="00472FFE" w:rsidRPr="004E166D">
        <w:rPr>
          <w:b/>
          <w:bCs/>
          <w:i/>
          <w:sz w:val="22"/>
          <w:szCs w:val="22"/>
          <w:lang w:val="en"/>
        </w:rPr>
        <w:t>Education.</w:t>
      </w:r>
      <w:r w:rsidR="00472FFE" w:rsidRPr="004E166D">
        <w:rPr>
          <w:i/>
          <w:sz w:val="22"/>
          <w:szCs w:val="22"/>
          <w:lang w:val="en"/>
        </w:rPr>
        <w:t xml:space="preserve"> </w:t>
      </w:r>
      <w:r w:rsidR="00472FFE" w:rsidRPr="004E166D">
        <w:rPr>
          <w:iCs/>
          <w:sz w:val="22"/>
          <w:szCs w:val="22"/>
          <w:lang w:val="en"/>
        </w:rPr>
        <w:t xml:space="preserve">Completion of a greater number of years of formal education is strongly correlated with positive health outcomes across time in the general population. Until recently, a postsecondary educational experience was out of reach for people with IDD; however, </w:t>
      </w:r>
      <w:r w:rsidR="00472FFE" w:rsidRPr="004E166D">
        <w:rPr>
          <w:sz w:val="22"/>
          <w:szCs w:val="22"/>
          <w:lang w:val="en"/>
        </w:rPr>
        <w:t xml:space="preserve">the Higher Education Opportunity Act of 2008 and grant-funded Transition and Postsecondary Programs for Students with Intellectual Disability (TPSID) have broadened access to higher education for people with IDD. Though these developments are </w:t>
      </w:r>
    </w:p>
    <w:p w14:paraId="18C39757" w14:textId="0052FAA8" w:rsidR="00472FFE" w:rsidRPr="004E166D" w:rsidRDefault="00472FFE" w:rsidP="002C49B9">
      <w:pPr>
        <w:spacing w:after="60" w:line="240" w:lineRule="auto"/>
        <w:rPr>
          <w:sz w:val="22"/>
          <w:szCs w:val="22"/>
          <w:lang w:val="en"/>
        </w:rPr>
      </w:pPr>
      <w:proofErr w:type="gramStart"/>
      <w:r w:rsidRPr="004E166D">
        <w:rPr>
          <w:sz w:val="22"/>
          <w:szCs w:val="22"/>
          <w:lang w:val="en"/>
        </w:rPr>
        <w:t>comparatively</w:t>
      </w:r>
      <w:proofErr w:type="gramEnd"/>
      <w:r w:rsidRPr="004E166D">
        <w:rPr>
          <w:sz w:val="22"/>
          <w:szCs w:val="22"/>
          <w:lang w:val="en"/>
        </w:rPr>
        <w:t xml:space="preserve"> recent, the positive health outcomes associated with higher levels of education may yet be observed in people with IDD over time.</w:t>
      </w:r>
    </w:p>
    <w:p w14:paraId="18AD9113" w14:textId="563BB29A" w:rsidR="00472FFE" w:rsidRPr="004E166D" w:rsidRDefault="00472FFE" w:rsidP="00472FFE">
      <w:pPr>
        <w:spacing w:after="60" w:line="240" w:lineRule="auto"/>
        <w:rPr>
          <w:sz w:val="22"/>
          <w:szCs w:val="22"/>
          <w:lang w:val="en"/>
        </w:rPr>
      </w:pPr>
      <w:r>
        <w:rPr>
          <w:b/>
          <w:bCs/>
          <w:i/>
          <w:sz w:val="22"/>
          <w:szCs w:val="22"/>
          <w:lang w:val="en"/>
        </w:rPr>
        <w:t xml:space="preserve">     </w:t>
      </w:r>
      <w:r w:rsidRPr="004E166D">
        <w:rPr>
          <w:b/>
          <w:bCs/>
          <w:i/>
          <w:sz w:val="22"/>
          <w:szCs w:val="22"/>
          <w:lang w:val="en"/>
        </w:rPr>
        <w:t>Employment.</w:t>
      </w:r>
      <w:r w:rsidRPr="004E166D">
        <w:rPr>
          <w:i/>
          <w:sz w:val="22"/>
          <w:szCs w:val="22"/>
          <w:lang w:val="en"/>
        </w:rPr>
        <w:t xml:space="preserve"> </w:t>
      </w:r>
      <w:r w:rsidRPr="004E166D">
        <w:rPr>
          <w:sz w:val="22"/>
          <w:szCs w:val="22"/>
          <w:lang w:val="en"/>
        </w:rPr>
        <w:t xml:space="preserve">Fewer than 20% of people with IDD in the United States are employed in competitive integrated jobs. </w:t>
      </w:r>
      <w:r w:rsidRPr="004E166D">
        <w:rPr>
          <w:iCs/>
          <w:sz w:val="22"/>
          <w:szCs w:val="22"/>
          <w:lang w:val="en"/>
        </w:rPr>
        <w:t>Having a job</w:t>
      </w:r>
      <w:r w:rsidRPr="004E166D">
        <w:rPr>
          <w:sz w:val="22"/>
          <w:szCs w:val="22"/>
          <w:lang w:val="en"/>
        </w:rPr>
        <w:t xml:space="preserve"> is critical for financial independence, and from a social determinant of health perspective, employment provides social networks and community, feelings of purpose and belonging, and opportunities for continued skill development. </w:t>
      </w:r>
      <w:r>
        <w:rPr>
          <w:sz w:val="22"/>
          <w:szCs w:val="22"/>
          <w:lang w:val="en"/>
        </w:rPr>
        <w:br/>
      </w:r>
      <w:r w:rsidRPr="004E166D">
        <w:rPr>
          <w:b/>
          <w:bCs/>
          <w:sz w:val="22"/>
          <w:szCs w:val="22"/>
          <w:lang w:val="en"/>
        </w:rPr>
        <w:t>Recommendations to Address Health Inequ</w:t>
      </w:r>
      <w:r w:rsidR="00B03E79">
        <w:rPr>
          <w:b/>
          <w:bCs/>
          <w:sz w:val="22"/>
          <w:szCs w:val="22"/>
          <w:lang w:val="en"/>
        </w:rPr>
        <w:t>alit</w:t>
      </w:r>
      <w:r w:rsidR="00FD4509">
        <w:rPr>
          <w:b/>
          <w:bCs/>
          <w:sz w:val="22"/>
          <w:szCs w:val="22"/>
          <w:lang w:val="en"/>
        </w:rPr>
        <w:t>y</w:t>
      </w:r>
      <w:r w:rsidR="00A627DA">
        <w:rPr>
          <w:b/>
          <w:bCs/>
          <w:sz w:val="22"/>
          <w:szCs w:val="22"/>
          <w:lang w:val="en"/>
        </w:rPr>
        <w:br/>
      </w:r>
      <w:r>
        <w:rPr>
          <w:sz w:val="22"/>
          <w:szCs w:val="22"/>
          <w:lang w:val="en"/>
        </w:rPr>
        <w:t>H</w:t>
      </w:r>
      <w:r w:rsidRPr="004E166D">
        <w:rPr>
          <w:sz w:val="22"/>
          <w:szCs w:val="22"/>
          <w:lang w:val="en"/>
        </w:rPr>
        <w:t xml:space="preserve">aving equitable drivers of health for all members of society is a good thing. We note that people with IDD are specifically included in the group “all members of society.” Finally, the drivers of health—the social determinants—are the universe of social, economic, and physical conditions in which people exist and interact across their lifespan. </w:t>
      </w:r>
    </w:p>
    <w:p w14:paraId="0E8C311E" w14:textId="026059D0" w:rsidR="004E166D" w:rsidRPr="004E166D" w:rsidRDefault="00472FFE" w:rsidP="00472FFE">
      <w:pPr>
        <w:spacing w:after="60" w:line="240" w:lineRule="auto"/>
        <w:rPr>
          <w:sz w:val="22"/>
          <w:szCs w:val="22"/>
          <w:lang w:val="en"/>
        </w:rPr>
      </w:pPr>
      <w:r w:rsidRPr="004E166D">
        <w:rPr>
          <w:sz w:val="22"/>
          <w:szCs w:val="22"/>
          <w:lang w:val="en"/>
        </w:rPr>
        <w:t xml:space="preserve">We recommend a capability approach as a theoretical framework for promoting health </w:t>
      </w:r>
      <w:r w:rsidR="00B03E79">
        <w:rPr>
          <w:sz w:val="22"/>
          <w:szCs w:val="22"/>
          <w:lang w:val="en"/>
        </w:rPr>
        <w:t>equality</w:t>
      </w:r>
      <w:r w:rsidRPr="004E166D">
        <w:rPr>
          <w:sz w:val="22"/>
          <w:szCs w:val="22"/>
          <w:lang w:val="en"/>
        </w:rPr>
        <w:t xml:space="preserve"> for and with individuals with IDD. This approach embodies two important concepts: (a) that a person who is free to make choices will try to achieve their own well-being and (b) that the ability to achieve well-being is affected by an individual’s own capacities and by their opportunities, which depend on the social, economic, and physical situations in which they live.</w:t>
      </w:r>
      <w:r w:rsidR="004E166D" w:rsidRPr="004E166D">
        <w:rPr>
          <w:sz w:val="22"/>
          <w:szCs w:val="22"/>
          <w:lang w:val="en"/>
        </w:rPr>
        <w:t>, and physical situations in which they live.</w:t>
      </w:r>
    </w:p>
    <w:p w14:paraId="79F18CF0" w14:textId="6A9CF39A" w:rsidR="004E166D" w:rsidRPr="004E166D" w:rsidRDefault="004E166D" w:rsidP="004E166D">
      <w:pPr>
        <w:numPr>
          <w:ilvl w:val="0"/>
          <w:numId w:val="5"/>
        </w:numPr>
        <w:spacing w:after="60" w:line="240" w:lineRule="auto"/>
        <w:rPr>
          <w:sz w:val="22"/>
          <w:szCs w:val="22"/>
          <w:lang w:val="en"/>
        </w:rPr>
      </w:pPr>
      <w:r w:rsidRPr="004E166D">
        <w:rPr>
          <w:sz w:val="22"/>
          <w:szCs w:val="22"/>
          <w:lang w:val="en"/>
        </w:rPr>
        <w:t>People with IDD should be supported in making and setting personal health goals.</w:t>
      </w:r>
      <w:r w:rsidR="008479F5" w:rsidRPr="008479F5">
        <w:rPr>
          <w:sz w:val="22"/>
          <w:szCs w:val="22"/>
          <w:lang w:val="en"/>
        </w:rPr>
        <w:t xml:space="preserve"> </w:t>
      </w:r>
      <w:r w:rsidRPr="004E166D">
        <w:rPr>
          <w:sz w:val="22"/>
          <w:szCs w:val="22"/>
          <w:lang w:val="en"/>
        </w:rPr>
        <w:t xml:space="preserve">Achievement of personal goals contributes to an individual’s well-being. </w:t>
      </w:r>
    </w:p>
    <w:p w14:paraId="2BABD380" w14:textId="77777777" w:rsidR="00E9129B" w:rsidRDefault="00282E6C" w:rsidP="004E166D">
      <w:pPr>
        <w:pStyle w:val="ListParagraph"/>
        <w:numPr>
          <w:ilvl w:val="0"/>
          <w:numId w:val="5"/>
        </w:numPr>
        <w:spacing w:after="60" w:line="240" w:lineRule="auto"/>
        <w:rPr>
          <w:sz w:val="22"/>
          <w:szCs w:val="22"/>
          <w:lang w:val="en"/>
        </w:rPr>
      </w:pPr>
      <w:r w:rsidRPr="00BD5271">
        <w:rPr>
          <w:sz w:val="22"/>
          <w:szCs w:val="22"/>
          <w:lang w:val="en"/>
        </w:rPr>
        <w:t xml:space="preserve">Person-centered approaches to achievement of an individual’s health goals should recognize the individual’s relative strengths and weaknesses and the opportunities and limitations of their current environment. It is important to recognize the interconnectedness of a person’s physical health, mental health, and environment and to </w:t>
      </w:r>
    </w:p>
    <w:p w14:paraId="65BC92DB" w14:textId="02FFD570" w:rsidR="00BD5271" w:rsidRDefault="00282E6C" w:rsidP="007356E3">
      <w:pPr>
        <w:pStyle w:val="ListParagraph"/>
        <w:spacing w:after="60" w:line="240" w:lineRule="auto"/>
        <w:ind w:left="360"/>
        <w:rPr>
          <w:sz w:val="22"/>
          <w:szCs w:val="22"/>
          <w:lang w:val="en"/>
        </w:rPr>
      </w:pPr>
      <w:r w:rsidRPr="00BD5271">
        <w:rPr>
          <w:sz w:val="22"/>
          <w:szCs w:val="22"/>
          <w:lang w:val="en"/>
        </w:rPr>
        <w:lastRenderedPageBreak/>
        <w:t xml:space="preserve">ensure that the person with the IDD is at the center of any decision that could impact their health and well-being. </w:t>
      </w:r>
    </w:p>
    <w:p w14:paraId="1F970561" w14:textId="07E11987" w:rsidR="00CC583B" w:rsidRPr="00CC583B" w:rsidRDefault="004E166D" w:rsidP="00CC583B">
      <w:pPr>
        <w:spacing w:after="60" w:line="240" w:lineRule="auto"/>
        <w:rPr>
          <w:sz w:val="22"/>
          <w:szCs w:val="22"/>
        </w:rPr>
      </w:pPr>
      <w:r w:rsidRPr="00BD5271">
        <w:rPr>
          <w:sz w:val="22"/>
          <w:szCs w:val="22"/>
          <w:lang w:val="en"/>
        </w:rPr>
        <w:t xml:space="preserve">We recommend the authentic engagement and integration of people with IDD in research, policy, and practice to remove systemic barriers to health </w:t>
      </w:r>
      <w:r w:rsidR="00B03E79">
        <w:rPr>
          <w:sz w:val="22"/>
          <w:szCs w:val="22"/>
          <w:lang w:val="en"/>
        </w:rPr>
        <w:t>equality</w:t>
      </w:r>
      <w:r w:rsidRPr="00BD5271">
        <w:rPr>
          <w:sz w:val="22"/>
          <w:szCs w:val="22"/>
          <w:lang w:val="en"/>
        </w:rPr>
        <w:t xml:space="preserve">. When people with IDD </w:t>
      </w:r>
      <w:r w:rsidR="00C673DE" w:rsidRPr="004E166D">
        <w:rPr>
          <w:sz w:val="22"/>
          <w:szCs w:val="22"/>
          <w:lang w:val="en"/>
        </w:rPr>
        <w:t xml:space="preserve">are authentically engaged, they are present to not </w:t>
      </w:r>
      <w:r w:rsidRPr="004E166D">
        <w:rPr>
          <w:sz w:val="22"/>
          <w:szCs w:val="22"/>
          <w:lang w:val="en"/>
        </w:rPr>
        <w:t xml:space="preserve">only provide feedback but </w:t>
      </w:r>
      <w:proofErr w:type="gramStart"/>
      <w:r w:rsidRPr="004E166D">
        <w:rPr>
          <w:sz w:val="22"/>
          <w:szCs w:val="22"/>
          <w:lang w:val="en"/>
        </w:rPr>
        <w:t>to meaningfully</w:t>
      </w:r>
      <w:proofErr w:type="gramEnd"/>
      <w:r w:rsidRPr="004E166D">
        <w:rPr>
          <w:sz w:val="22"/>
          <w:szCs w:val="22"/>
          <w:lang w:val="en"/>
        </w:rPr>
        <w:t xml:space="preserve"> contribute to the development, implementation, and evaluation processes associated with research, policy, and practice activities. </w:t>
      </w:r>
      <w:r w:rsidR="0009152B">
        <w:rPr>
          <w:sz w:val="22"/>
          <w:szCs w:val="22"/>
          <w:lang w:val="en"/>
        </w:rPr>
        <w:br/>
      </w:r>
      <w:r w:rsidRPr="004E166D">
        <w:rPr>
          <w:b/>
          <w:bCs/>
          <w:sz w:val="22"/>
          <w:szCs w:val="22"/>
          <w:lang w:val="en"/>
        </w:rPr>
        <w:t>Conclusion</w:t>
      </w:r>
      <w:r w:rsidR="0009152B">
        <w:rPr>
          <w:b/>
          <w:bCs/>
          <w:sz w:val="22"/>
          <w:szCs w:val="22"/>
          <w:lang w:val="en"/>
        </w:rPr>
        <w:br/>
      </w:r>
      <w:r w:rsidR="00CC583B" w:rsidRPr="00CC583B">
        <w:rPr>
          <w:sz w:val="22"/>
          <w:szCs w:val="22"/>
        </w:rPr>
        <w:t xml:space="preserve">An ethical approach to health </w:t>
      </w:r>
      <w:r w:rsidR="00B03E79">
        <w:rPr>
          <w:sz w:val="22"/>
          <w:szCs w:val="22"/>
        </w:rPr>
        <w:t>equality</w:t>
      </w:r>
      <w:r w:rsidR="00CC583B" w:rsidRPr="00CC583B">
        <w:rPr>
          <w:sz w:val="22"/>
          <w:szCs w:val="22"/>
        </w:rPr>
        <w:t xml:space="preserve"> for people with IDD should ensure people with IDD are included in decisions that impact their lives. In addition, moving from current practice of utilitarian approaches to a capabilities ethical framework will proactively support health </w:t>
      </w:r>
      <w:r w:rsidR="00B03E79">
        <w:rPr>
          <w:sz w:val="22"/>
          <w:szCs w:val="22"/>
        </w:rPr>
        <w:t>equality</w:t>
      </w:r>
      <w:r w:rsidR="00CC583B" w:rsidRPr="00CC583B">
        <w:rPr>
          <w:sz w:val="22"/>
          <w:szCs w:val="22"/>
        </w:rPr>
        <w:t>. </w:t>
      </w:r>
    </w:p>
    <w:p w14:paraId="120EB91A" w14:textId="7FB63041" w:rsidR="004E166D" w:rsidRPr="00CC583B" w:rsidRDefault="004E166D" w:rsidP="004E166D">
      <w:pPr>
        <w:spacing w:after="60" w:line="240" w:lineRule="auto"/>
        <w:rPr>
          <w:b/>
          <w:bCs/>
          <w:sz w:val="22"/>
          <w:szCs w:val="22"/>
        </w:rPr>
      </w:pPr>
    </w:p>
    <w:p w14:paraId="791B06B3" w14:textId="77777777" w:rsidR="002A743C" w:rsidRPr="002A743C" w:rsidRDefault="002A743C" w:rsidP="002A743C">
      <w:pPr>
        <w:spacing w:after="60" w:line="240" w:lineRule="auto"/>
        <w:rPr>
          <w:sz w:val="22"/>
          <w:szCs w:val="22"/>
          <w:lang w:val="en"/>
        </w:rPr>
      </w:pPr>
      <w:r w:rsidRPr="002A743C">
        <w:rPr>
          <w:b/>
          <w:bCs/>
          <w:sz w:val="22"/>
          <w:szCs w:val="22"/>
          <w:lang w:val="en"/>
        </w:rPr>
        <w:t>Acknowledgments</w:t>
      </w:r>
    </w:p>
    <w:p w14:paraId="6213D410" w14:textId="00329120" w:rsidR="002A743C" w:rsidRDefault="002A743C" w:rsidP="002A743C">
      <w:pPr>
        <w:spacing w:after="60" w:line="240" w:lineRule="auto"/>
        <w:rPr>
          <w:sz w:val="22"/>
          <w:szCs w:val="22"/>
          <w:lang w:val="en"/>
        </w:rPr>
      </w:pPr>
      <w:r w:rsidRPr="002A743C">
        <w:rPr>
          <w:sz w:val="22"/>
          <w:szCs w:val="22"/>
          <w:lang w:val="en"/>
        </w:rPr>
        <w:t xml:space="preserve">The members of the Ethical Issues strand are gratefully acknowledged for their contributions to the work of the National Goals Conference and its products: Daniel J. Bruson, Stephanie Giordano, Heather Keith, Barbara Kleist, Colleen Roche, Sequaya </w:t>
      </w:r>
      <w:proofErr w:type="spellStart"/>
      <w:r w:rsidRPr="002A743C">
        <w:rPr>
          <w:sz w:val="22"/>
          <w:szCs w:val="22"/>
          <w:lang w:val="en"/>
        </w:rPr>
        <w:t>Trasker</w:t>
      </w:r>
      <w:proofErr w:type="spellEnd"/>
      <w:r w:rsidRPr="002A743C">
        <w:rPr>
          <w:sz w:val="22"/>
          <w:szCs w:val="22"/>
          <w:lang w:val="en"/>
        </w:rPr>
        <w:t>, Nate Whelan-Jackson, and Heather Williamson</w:t>
      </w:r>
      <w:r>
        <w:rPr>
          <w:sz w:val="22"/>
          <w:szCs w:val="22"/>
          <w:lang w:val="en"/>
        </w:rPr>
        <w:t>.</w:t>
      </w:r>
    </w:p>
    <w:p w14:paraId="42FD3B7C" w14:textId="77777777" w:rsidR="003E333A" w:rsidRDefault="003E333A" w:rsidP="002A743C">
      <w:pPr>
        <w:spacing w:after="60" w:line="240" w:lineRule="auto"/>
        <w:rPr>
          <w:sz w:val="22"/>
          <w:szCs w:val="22"/>
          <w:lang w:val="en"/>
        </w:rPr>
      </w:pPr>
    </w:p>
    <w:p w14:paraId="7B10DB36" w14:textId="77777777" w:rsidR="004E166D" w:rsidRPr="004E166D" w:rsidRDefault="004E166D" w:rsidP="004E166D">
      <w:pPr>
        <w:spacing w:after="60" w:line="240" w:lineRule="auto"/>
        <w:rPr>
          <w:b/>
          <w:bCs/>
          <w:sz w:val="22"/>
          <w:szCs w:val="22"/>
          <w:lang w:val="en"/>
        </w:rPr>
      </w:pPr>
      <w:r w:rsidRPr="004E166D">
        <w:rPr>
          <w:b/>
          <w:bCs/>
          <w:sz w:val="22"/>
          <w:szCs w:val="22"/>
          <w:lang w:val="en"/>
        </w:rPr>
        <w:t>Bibliography</w:t>
      </w:r>
    </w:p>
    <w:p w14:paraId="0A5895F8" w14:textId="77777777" w:rsidR="004E166D" w:rsidRPr="004E166D" w:rsidRDefault="004E166D" w:rsidP="00733523">
      <w:pPr>
        <w:spacing w:after="120" w:line="240" w:lineRule="auto"/>
        <w:ind w:left="288" w:right="-288" w:hanging="288"/>
        <w:rPr>
          <w:sz w:val="20"/>
          <w:szCs w:val="20"/>
          <w:u w:val="single"/>
          <w:lang w:val="en"/>
        </w:rPr>
      </w:pPr>
      <w:r w:rsidRPr="004E166D">
        <w:rPr>
          <w:sz w:val="20"/>
          <w:szCs w:val="20"/>
        </w:rPr>
        <w:t xml:space="preserve">DuBois, L. A., Bradley, V., &amp; </w:t>
      </w:r>
      <w:proofErr w:type="spellStart"/>
      <w:r w:rsidRPr="004E166D">
        <w:rPr>
          <w:sz w:val="20"/>
          <w:szCs w:val="20"/>
        </w:rPr>
        <w:t>Isvan</w:t>
      </w:r>
      <w:proofErr w:type="spellEnd"/>
      <w:r w:rsidRPr="004E166D">
        <w:rPr>
          <w:sz w:val="20"/>
          <w:szCs w:val="20"/>
        </w:rPr>
        <w:t xml:space="preserve">, N. (2024). </w:t>
      </w:r>
      <w:r w:rsidRPr="004E166D">
        <w:rPr>
          <w:sz w:val="20"/>
          <w:szCs w:val="20"/>
          <w:lang w:val="en"/>
        </w:rPr>
        <w:t xml:space="preserve">An observational investigation of unemployment, underemployment, and competitive integrated employment of people with intellectual and developmental disabilities in 2021–2022. </w:t>
      </w:r>
      <w:r w:rsidRPr="004E166D">
        <w:rPr>
          <w:i/>
          <w:iCs/>
          <w:sz w:val="20"/>
          <w:szCs w:val="20"/>
          <w:lang w:val="en"/>
        </w:rPr>
        <w:t>Disability and Health Journal</w:t>
      </w:r>
      <w:r w:rsidRPr="004E166D">
        <w:rPr>
          <w:sz w:val="20"/>
          <w:szCs w:val="20"/>
          <w:lang w:val="en"/>
        </w:rPr>
        <w:t>. Advance online publication. https://doi.org/10.1016/j.dhjo.2024.101620</w:t>
      </w:r>
    </w:p>
    <w:p w14:paraId="037E0FE2" w14:textId="77777777"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Institute for Community Inclusion, University of Massachusetts, Boston. (n.d.). </w:t>
      </w:r>
      <w:proofErr w:type="spellStart"/>
      <w:r w:rsidRPr="004E166D">
        <w:rPr>
          <w:i/>
          <w:iCs/>
          <w:sz w:val="20"/>
          <w:szCs w:val="20"/>
          <w:lang w:val="en"/>
        </w:rPr>
        <w:t>StateData</w:t>
      </w:r>
      <w:proofErr w:type="spellEnd"/>
      <w:r w:rsidRPr="004E166D">
        <w:rPr>
          <w:i/>
          <w:iCs/>
          <w:sz w:val="20"/>
          <w:szCs w:val="20"/>
          <w:lang w:val="en"/>
        </w:rPr>
        <w:t xml:space="preserve"> </w:t>
      </w:r>
      <w:r w:rsidRPr="004E166D">
        <w:rPr>
          <w:sz w:val="20"/>
          <w:szCs w:val="20"/>
          <w:lang w:val="en"/>
        </w:rPr>
        <w:t>[Webpage]. https://www.thinkwork.org/statedata</w:t>
      </w:r>
    </w:p>
    <w:p w14:paraId="6FF509B8" w14:textId="77777777" w:rsidR="002F0455" w:rsidRDefault="002F0455" w:rsidP="00733523">
      <w:pPr>
        <w:spacing w:after="120" w:line="240" w:lineRule="auto"/>
        <w:ind w:left="288" w:right="-288" w:hanging="288"/>
        <w:rPr>
          <w:sz w:val="20"/>
          <w:szCs w:val="20"/>
          <w:lang w:val="en"/>
        </w:rPr>
      </w:pPr>
    </w:p>
    <w:p w14:paraId="293DC3C0" w14:textId="2682C95D" w:rsidR="002F0455" w:rsidRDefault="002F0455" w:rsidP="00733523">
      <w:pPr>
        <w:spacing w:after="120" w:line="240" w:lineRule="auto"/>
        <w:ind w:left="288" w:right="-288" w:hanging="288"/>
        <w:rPr>
          <w:sz w:val="20"/>
          <w:szCs w:val="20"/>
          <w:lang w:val="en"/>
        </w:rPr>
      </w:pPr>
    </w:p>
    <w:p w14:paraId="2B1ED799" w14:textId="77777777" w:rsidR="002F0455" w:rsidRDefault="002F0455" w:rsidP="00733523">
      <w:pPr>
        <w:spacing w:after="120" w:line="240" w:lineRule="auto"/>
        <w:ind w:left="288" w:right="-288" w:hanging="288"/>
        <w:rPr>
          <w:sz w:val="20"/>
          <w:szCs w:val="20"/>
          <w:lang w:val="en"/>
        </w:rPr>
      </w:pPr>
    </w:p>
    <w:p w14:paraId="1633FAD7" w14:textId="267D1FE8"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National Center for Education Statistics. (2024, May). High school graduation rates. </w:t>
      </w:r>
      <w:r w:rsidRPr="004E166D">
        <w:rPr>
          <w:i/>
          <w:sz w:val="20"/>
          <w:szCs w:val="20"/>
          <w:lang w:val="en"/>
        </w:rPr>
        <w:t>Condition of Education</w:t>
      </w:r>
      <w:r w:rsidRPr="004E166D">
        <w:rPr>
          <w:sz w:val="20"/>
          <w:szCs w:val="20"/>
          <w:lang w:val="en"/>
        </w:rPr>
        <w:t xml:space="preserve">. U.S. Department of Education, Institute of Education Sciences. </w:t>
      </w:r>
      <w:hyperlink r:id="rId13">
        <w:r w:rsidRPr="004E166D">
          <w:rPr>
            <w:rStyle w:val="Hyperlink"/>
            <w:color w:val="auto"/>
            <w:sz w:val="20"/>
            <w:szCs w:val="20"/>
            <w:u w:val="none"/>
            <w:lang w:val="en"/>
          </w:rPr>
          <w:t>https://nces.ed.gov/programs/coe/indicator/coi/high-school-graduation-rates</w:t>
        </w:r>
      </w:hyperlink>
    </w:p>
    <w:p w14:paraId="632AC43F" w14:textId="77777777"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National Core Indicators-Intellectual and Disabilities [Website]. (n.d.). Human Services Research Institute and National Association of State Directors of Developmental Disabilities Services. </w:t>
      </w:r>
      <w:hyperlink r:id="rId14" w:history="1">
        <w:r w:rsidRPr="004E166D">
          <w:rPr>
            <w:rStyle w:val="Hyperlink"/>
            <w:color w:val="auto"/>
            <w:sz w:val="20"/>
            <w:szCs w:val="20"/>
            <w:u w:val="none"/>
            <w:lang w:val="en"/>
          </w:rPr>
          <w:t>https://idd.nationalcoreindicators.org/</w:t>
        </w:r>
      </w:hyperlink>
    </w:p>
    <w:p w14:paraId="7AB7A34A" w14:textId="198A27D5"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Pham, H. H., Benevides, T. W., Andresen, M.-L., Bahr, M., Nicholson, J., Corey, T., </w:t>
      </w:r>
      <w:proofErr w:type="spellStart"/>
      <w:r w:rsidRPr="004E166D">
        <w:rPr>
          <w:sz w:val="20"/>
          <w:szCs w:val="20"/>
          <w:lang w:val="en"/>
        </w:rPr>
        <w:t>Jaremski</w:t>
      </w:r>
      <w:proofErr w:type="spellEnd"/>
      <w:r w:rsidRPr="004E166D">
        <w:rPr>
          <w:sz w:val="20"/>
          <w:szCs w:val="20"/>
          <w:lang w:val="en"/>
        </w:rPr>
        <w:t xml:space="preserve">, J. E., Faughnan, K., Edelman, M., Hernandez-Hons, A., Langer, C., Shore, S., </w:t>
      </w:r>
      <w:proofErr w:type="spellStart"/>
      <w:r w:rsidRPr="004E166D">
        <w:rPr>
          <w:sz w:val="20"/>
          <w:szCs w:val="20"/>
          <w:lang w:val="en"/>
        </w:rPr>
        <w:t>Ausderau</w:t>
      </w:r>
      <w:proofErr w:type="spellEnd"/>
      <w:r w:rsidRPr="004E166D">
        <w:rPr>
          <w:sz w:val="20"/>
          <w:szCs w:val="20"/>
          <w:lang w:val="en"/>
        </w:rPr>
        <w:t xml:space="preserve">, K., </w:t>
      </w:r>
      <w:proofErr w:type="spellStart"/>
      <w:r w:rsidRPr="004E166D">
        <w:rPr>
          <w:sz w:val="20"/>
          <w:szCs w:val="20"/>
          <w:lang w:val="en"/>
        </w:rPr>
        <w:t>Burstin</w:t>
      </w:r>
      <w:proofErr w:type="spellEnd"/>
      <w:r w:rsidRPr="004E166D">
        <w:rPr>
          <w:sz w:val="20"/>
          <w:szCs w:val="20"/>
          <w:lang w:val="en"/>
        </w:rPr>
        <w:t xml:space="preserve">, H., Hingle, S. T., Kirk, A. S., Johnson, K., Siasoco, V., Budway, E., . . . Woodward, C. (2024, August 2). Advancing health policy and outcomes for people with intellectual or developmental disabilities: A community-led agenda. </w:t>
      </w:r>
      <w:r w:rsidRPr="004E166D">
        <w:rPr>
          <w:i/>
          <w:sz w:val="20"/>
          <w:szCs w:val="20"/>
          <w:lang w:val="en"/>
        </w:rPr>
        <w:t xml:space="preserve">JAMA Health Forum, </w:t>
      </w:r>
      <w:r w:rsidRPr="004E166D">
        <w:rPr>
          <w:i/>
          <w:iCs/>
          <w:sz w:val="20"/>
          <w:szCs w:val="20"/>
          <w:lang w:val="en"/>
        </w:rPr>
        <w:t>5</w:t>
      </w:r>
      <w:r w:rsidRPr="004E166D">
        <w:rPr>
          <w:sz w:val="20"/>
          <w:szCs w:val="20"/>
          <w:lang w:val="en"/>
        </w:rPr>
        <w:t xml:space="preserve">(8), e242201. </w:t>
      </w:r>
      <w:bookmarkStart w:id="0" w:name="_Hlk185444423"/>
      <w:r w:rsidRPr="004E166D">
        <w:rPr>
          <w:sz w:val="20"/>
          <w:szCs w:val="20"/>
          <w:lang w:val="en"/>
        </w:rPr>
        <w:t>https://doi.org/</w:t>
      </w:r>
      <w:bookmarkEnd w:id="0"/>
      <w:r w:rsidRPr="004E166D">
        <w:rPr>
          <w:sz w:val="20"/>
          <w:szCs w:val="20"/>
          <w:lang w:val="en"/>
        </w:rPr>
        <w:t>10.1001/jamahealthforum.2024.2201</w:t>
      </w:r>
    </w:p>
    <w:p w14:paraId="0D7639B6" w14:textId="77777777"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Ryan, S., &amp; O’Brien, R. (2024, September 13). Using a capability approach to explore how people with intellectual disabilities can lead flourishing lives. </w:t>
      </w:r>
      <w:r w:rsidRPr="004E166D">
        <w:rPr>
          <w:i/>
          <w:sz w:val="20"/>
          <w:szCs w:val="20"/>
          <w:lang w:val="en"/>
        </w:rPr>
        <w:t>Journal of Applied Research in Intellectual Disabilities</w:t>
      </w:r>
      <w:r w:rsidRPr="004E166D">
        <w:rPr>
          <w:i/>
          <w:iCs/>
          <w:sz w:val="20"/>
          <w:szCs w:val="20"/>
          <w:lang w:val="en"/>
        </w:rPr>
        <w:t>, 37</w:t>
      </w:r>
      <w:r w:rsidRPr="004E166D">
        <w:rPr>
          <w:sz w:val="20"/>
          <w:szCs w:val="20"/>
          <w:lang w:val="en"/>
        </w:rPr>
        <w:t>(6), e13299. https://doi.org/10.1111/jar.13299</w:t>
      </w:r>
    </w:p>
    <w:p w14:paraId="4789DA45" w14:textId="77777777" w:rsidR="004E166D" w:rsidRPr="004E166D" w:rsidRDefault="004E166D" w:rsidP="00733523">
      <w:pPr>
        <w:spacing w:after="120" w:line="240" w:lineRule="auto"/>
        <w:ind w:left="288" w:right="-288" w:hanging="288"/>
        <w:rPr>
          <w:sz w:val="20"/>
          <w:szCs w:val="20"/>
          <w:lang w:val="en"/>
        </w:rPr>
      </w:pPr>
      <w:proofErr w:type="spellStart"/>
      <w:r w:rsidRPr="004E166D">
        <w:rPr>
          <w:sz w:val="20"/>
          <w:szCs w:val="20"/>
          <w:lang w:val="en"/>
        </w:rPr>
        <w:t>Sonderlund</w:t>
      </w:r>
      <w:proofErr w:type="spellEnd"/>
      <w:r w:rsidRPr="004E166D">
        <w:rPr>
          <w:sz w:val="20"/>
          <w:szCs w:val="20"/>
          <w:lang w:val="en"/>
        </w:rPr>
        <w:t xml:space="preserve">, A. L., </w:t>
      </w:r>
      <w:proofErr w:type="spellStart"/>
      <w:r w:rsidRPr="004E166D">
        <w:rPr>
          <w:sz w:val="20"/>
          <w:szCs w:val="20"/>
          <w:lang w:val="en"/>
        </w:rPr>
        <w:t>Baygi</w:t>
      </w:r>
      <w:proofErr w:type="spellEnd"/>
      <w:r w:rsidRPr="004E166D">
        <w:rPr>
          <w:sz w:val="20"/>
          <w:szCs w:val="20"/>
          <w:lang w:val="en"/>
        </w:rPr>
        <w:t xml:space="preserve">, F., </w:t>
      </w:r>
      <w:proofErr w:type="spellStart"/>
      <w:r w:rsidRPr="004E166D">
        <w:rPr>
          <w:sz w:val="20"/>
          <w:szCs w:val="20"/>
          <w:lang w:val="en"/>
        </w:rPr>
        <w:t>Soendergaard</w:t>
      </w:r>
      <w:proofErr w:type="spellEnd"/>
      <w:r w:rsidRPr="004E166D">
        <w:rPr>
          <w:sz w:val="20"/>
          <w:szCs w:val="20"/>
          <w:lang w:val="en"/>
        </w:rPr>
        <w:t xml:space="preserve">, J., &amp; Thilsing, T. (2024). Advancing health equity for populations with intellectual disabilities: A systematic review of facilitators and barriers to the implementation of health checks and screening, </w:t>
      </w:r>
      <w:r w:rsidRPr="004E166D">
        <w:rPr>
          <w:i/>
          <w:iCs/>
          <w:sz w:val="20"/>
          <w:szCs w:val="20"/>
          <w:lang w:val="en"/>
        </w:rPr>
        <w:t>SSM - Health Systems, 2,</w:t>
      </w:r>
      <w:r w:rsidRPr="004E166D">
        <w:rPr>
          <w:sz w:val="20"/>
          <w:szCs w:val="20"/>
          <w:lang w:val="en"/>
        </w:rPr>
        <w:t xml:space="preserve"> Article 100009. </w:t>
      </w:r>
      <w:hyperlink r:id="rId15" w:history="1">
        <w:r w:rsidRPr="004E166D">
          <w:rPr>
            <w:rStyle w:val="Hyperlink"/>
            <w:color w:val="auto"/>
            <w:sz w:val="20"/>
            <w:szCs w:val="20"/>
            <w:u w:val="none"/>
            <w:lang w:val="en"/>
          </w:rPr>
          <w:t>https://doi.org/10.1016/j.ssmhs.2024.100009</w:t>
        </w:r>
      </w:hyperlink>
      <w:r w:rsidRPr="004E166D">
        <w:rPr>
          <w:sz w:val="20"/>
          <w:szCs w:val="20"/>
          <w:lang w:val="en"/>
        </w:rPr>
        <w:t xml:space="preserve"> </w:t>
      </w:r>
    </w:p>
    <w:p w14:paraId="7D73D2B9" w14:textId="77777777" w:rsidR="004E166D" w:rsidRPr="004E166D" w:rsidRDefault="004E166D" w:rsidP="00733523">
      <w:pPr>
        <w:spacing w:after="120" w:line="240" w:lineRule="auto"/>
        <w:ind w:left="288" w:right="-288" w:hanging="288"/>
        <w:rPr>
          <w:sz w:val="20"/>
          <w:szCs w:val="20"/>
          <w:lang w:val="en"/>
        </w:rPr>
      </w:pPr>
      <w:r w:rsidRPr="004E166D">
        <w:rPr>
          <w:sz w:val="20"/>
          <w:szCs w:val="20"/>
          <w:lang w:val="en"/>
        </w:rPr>
        <w:t xml:space="preserve">Sullivan, W. F., Björne, P., Heng, J., &amp; Northway, R. (2022). Ethics framework and recommendations to support capabilities of people with intellectual and developmental disabilities during pandemics. </w:t>
      </w:r>
      <w:r w:rsidRPr="004E166D">
        <w:rPr>
          <w:i/>
          <w:sz w:val="20"/>
          <w:szCs w:val="20"/>
          <w:lang w:val="en"/>
        </w:rPr>
        <w:t>Journal of Policy and Practice in Intellectual Disabilities, 19</w:t>
      </w:r>
      <w:r w:rsidRPr="004E166D">
        <w:rPr>
          <w:iCs/>
          <w:sz w:val="20"/>
          <w:szCs w:val="20"/>
          <w:lang w:val="en"/>
        </w:rPr>
        <w:t>(1)</w:t>
      </w:r>
      <w:r w:rsidRPr="004E166D">
        <w:rPr>
          <w:i/>
          <w:sz w:val="20"/>
          <w:szCs w:val="20"/>
          <w:lang w:val="en"/>
        </w:rPr>
        <w:t xml:space="preserve">, </w:t>
      </w:r>
      <w:r w:rsidRPr="004E166D">
        <w:rPr>
          <w:sz w:val="20"/>
          <w:szCs w:val="20"/>
          <w:lang w:val="en"/>
        </w:rPr>
        <w:t>116–124. https://doi.org/10.1111/jppi.12413</w:t>
      </w:r>
    </w:p>
    <w:p w14:paraId="671196AF" w14:textId="1D41F7ED" w:rsidR="00C10E1B" w:rsidRPr="006066FA" w:rsidRDefault="004E166D" w:rsidP="00733523">
      <w:pPr>
        <w:spacing w:after="120" w:line="240" w:lineRule="auto"/>
        <w:ind w:left="288" w:right="-288" w:hanging="288"/>
        <w:rPr>
          <w:sz w:val="16"/>
          <w:szCs w:val="16"/>
          <w:lang w:val="en"/>
        </w:rPr>
      </w:pPr>
      <w:r w:rsidRPr="004E166D">
        <w:rPr>
          <w:sz w:val="20"/>
          <w:szCs w:val="20"/>
          <w:lang w:val="en"/>
        </w:rPr>
        <w:t xml:space="preserve">U.S. Centers for Disease Control. (2024). </w:t>
      </w:r>
      <w:r w:rsidRPr="004E166D">
        <w:rPr>
          <w:i/>
          <w:iCs/>
          <w:sz w:val="20"/>
          <w:szCs w:val="20"/>
          <w:lang w:val="en"/>
        </w:rPr>
        <w:t>Disability barriers to inclusion</w:t>
      </w:r>
      <w:r w:rsidRPr="004E166D">
        <w:rPr>
          <w:sz w:val="20"/>
          <w:szCs w:val="20"/>
          <w:lang w:val="en"/>
        </w:rPr>
        <w:t xml:space="preserve"> [Webpage]. </w:t>
      </w:r>
      <w:hyperlink r:id="rId16" w:history="1">
        <w:r w:rsidRPr="004E166D">
          <w:rPr>
            <w:rStyle w:val="Hyperlink"/>
            <w:color w:val="auto"/>
            <w:sz w:val="20"/>
            <w:szCs w:val="20"/>
            <w:u w:val="none"/>
            <w:lang w:val="en"/>
          </w:rPr>
          <w:t>https://www.cdc.gov/disability-inclusion/barriers/?CDC_AAref_Val=https://www.cdc.gov/ncbddd/disabilityandhealth/disability-barriers.html</w:t>
        </w:r>
      </w:hyperlink>
    </w:p>
    <w:sectPr w:rsidR="00C10E1B" w:rsidRPr="006066FA" w:rsidSect="002C49B9">
      <w:headerReference w:type="default" r:id="rId17"/>
      <w:type w:val="continuous"/>
      <w:pgSz w:w="12240" w:h="15840"/>
      <w:pgMar w:top="720" w:right="1008" w:bottom="720" w:left="1008" w:header="720" w:footer="576" w:gutter="0"/>
      <w:pgNumType w:start="2"/>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5F0C" w14:textId="77777777" w:rsidR="0051627B" w:rsidRDefault="0051627B" w:rsidP="009F71E6">
      <w:pPr>
        <w:spacing w:after="0" w:line="240" w:lineRule="auto"/>
      </w:pPr>
      <w:r>
        <w:separator/>
      </w:r>
    </w:p>
  </w:endnote>
  <w:endnote w:type="continuationSeparator" w:id="0">
    <w:p w14:paraId="1C72EF95" w14:textId="77777777" w:rsidR="0051627B" w:rsidRDefault="0051627B" w:rsidP="009F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AC51" w14:textId="66BBC160" w:rsidR="00C827B7" w:rsidRPr="00C827B7" w:rsidRDefault="00C827B7" w:rsidP="007A3DB1">
    <w:pPr>
      <w:pStyle w:val="Footer"/>
      <w:rPr>
        <w:sz w:val="22"/>
        <w:szCs w:val="22"/>
      </w:rPr>
    </w:pPr>
    <w:r w:rsidRPr="00C10E1B">
      <w:rPr>
        <w:b/>
        <w:bCs/>
        <w:sz w:val="22"/>
        <w:szCs w:val="22"/>
      </w:rPr>
      <w:t>Suggested citation</w:t>
    </w:r>
    <w:r w:rsidRPr="0044704C">
      <w:rPr>
        <w:i/>
        <w:iCs/>
        <w:sz w:val="22"/>
        <w:szCs w:val="22"/>
      </w:rPr>
      <w:t>:</w:t>
    </w:r>
    <w:r w:rsidR="00EA36B2" w:rsidRPr="0044704C">
      <w:rPr>
        <w:i/>
        <w:iCs/>
        <w:sz w:val="22"/>
        <w:szCs w:val="22"/>
      </w:rPr>
      <w:t xml:space="preserve"> </w:t>
    </w:r>
    <w:r w:rsidR="00C10E1B">
      <w:rPr>
        <w:sz w:val="22"/>
        <w:szCs w:val="22"/>
      </w:rPr>
      <w:t>American Association on Intellectual and Developmental Disabilities. (2025).</w:t>
    </w:r>
    <w:r w:rsidR="00C10E1B" w:rsidRPr="0044704C">
      <w:rPr>
        <w:i/>
        <w:iCs/>
        <w:sz w:val="22"/>
        <w:szCs w:val="22"/>
      </w:rPr>
      <w:t xml:space="preserve"> </w:t>
    </w:r>
    <w:r w:rsidR="00BC298B">
      <w:rPr>
        <w:i/>
        <w:iCs/>
        <w:sz w:val="22"/>
        <w:szCs w:val="22"/>
      </w:rPr>
      <w:t>An ethical approach to</w:t>
    </w:r>
    <w:r w:rsidR="000712E0">
      <w:rPr>
        <w:i/>
        <w:iCs/>
        <w:sz w:val="22"/>
        <w:szCs w:val="22"/>
      </w:rPr>
      <w:t xml:space="preserve"> health equity</w:t>
    </w:r>
    <w:r w:rsidR="00EA36B2">
      <w:rPr>
        <w:sz w:val="22"/>
        <w:szCs w:val="22"/>
      </w:rPr>
      <w:t xml:space="preserve"> [Issue Brief]. </w:t>
    </w:r>
    <w:r w:rsidR="00C10E1B">
      <w:rPr>
        <w:sz w:val="22"/>
        <w:szCs w:val="22"/>
      </w:rPr>
      <w:t>Author.</w:t>
    </w:r>
  </w:p>
  <w:p w14:paraId="2113657F" w14:textId="77777777" w:rsidR="00C827B7" w:rsidRDefault="00C82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E96F" w14:textId="77777777" w:rsidR="00CC1327" w:rsidRPr="00C10E1B" w:rsidRDefault="00CC1327" w:rsidP="00CC1327">
    <w:pPr>
      <w:pStyle w:val="Footer"/>
      <w:rPr>
        <w:sz w:val="20"/>
        <w:szCs w:val="20"/>
      </w:rPr>
    </w:pPr>
    <w:r w:rsidRPr="00C10E1B">
      <w:rPr>
        <w:sz w:val="20"/>
        <w:szCs w:val="20"/>
      </w:rPr>
      <w:t xml:space="preserve">The views and opinions expressed in this document were generated by independent teams at the National Goals Conference on Health Equity held June 8-9, </w:t>
    </w:r>
    <w:proofErr w:type="gramStart"/>
    <w:r w:rsidRPr="00C10E1B">
      <w:rPr>
        <w:sz w:val="20"/>
        <w:szCs w:val="20"/>
      </w:rPr>
      <w:t>2024</w:t>
    </w:r>
    <w:proofErr w:type="gramEnd"/>
    <w:r w:rsidRPr="00C10E1B">
      <w:rPr>
        <w:sz w:val="20"/>
        <w:szCs w:val="20"/>
      </w:rPr>
      <w:t xml:space="preserve"> in Louisville, KY</w:t>
    </w:r>
    <w:r>
      <w:rPr>
        <w:sz w:val="20"/>
        <w:szCs w:val="20"/>
      </w:rPr>
      <w:t xml:space="preserve">, and </w:t>
    </w:r>
    <w:r w:rsidRPr="00C10E1B">
      <w:rPr>
        <w:sz w:val="20"/>
        <w:szCs w:val="20"/>
      </w:rPr>
      <w:t>do not necessarily reflect the official policy or position of any of the planning partners.</w:t>
    </w:r>
  </w:p>
  <w:p w14:paraId="65F584B4" w14:textId="77777777" w:rsidR="000712E0" w:rsidRDefault="0007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F13CD" w14:textId="77777777" w:rsidR="0051627B" w:rsidRDefault="0051627B" w:rsidP="009F71E6">
      <w:pPr>
        <w:spacing w:after="0" w:line="240" w:lineRule="auto"/>
      </w:pPr>
      <w:r>
        <w:separator/>
      </w:r>
    </w:p>
  </w:footnote>
  <w:footnote w:type="continuationSeparator" w:id="0">
    <w:p w14:paraId="2B7DD66A" w14:textId="77777777" w:rsidR="0051627B" w:rsidRDefault="0051627B" w:rsidP="009F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98381352"/>
      <w:docPartObj>
        <w:docPartGallery w:val="Page Numbers (Top of Page)"/>
        <w:docPartUnique/>
      </w:docPartObj>
    </w:sdtPr>
    <w:sdtEndPr/>
    <w:sdtContent>
      <w:p w14:paraId="6939A29C" w14:textId="65E52996" w:rsidR="002C49B9" w:rsidRDefault="002C49B9" w:rsidP="002C49B9">
        <w:pPr>
          <w:pStyle w:val="Header"/>
          <w:tabs>
            <w:tab w:val="clear" w:pos="4680"/>
            <w:tab w:val="clear" w:pos="9360"/>
            <w:tab w:val="left" w:pos="1545"/>
          </w:tabs>
          <w:rPr>
            <w:b/>
            <w:bCs/>
            <w:sz w:val="22"/>
            <w:szCs w:val="22"/>
          </w:rPr>
        </w:pPr>
        <w:r w:rsidRPr="002C49B9">
          <w:rPr>
            <w:sz w:val="22"/>
            <w:szCs w:val="22"/>
          </w:rPr>
          <w:t xml:space="preserve">Page </w:t>
        </w:r>
        <w:r w:rsidRPr="002C49B9">
          <w:rPr>
            <w:b/>
            <w:bCs/>
            <w:sz w:val="22"/>
            <w:szCs w:val="22"/>
          </w:rPr>
          <w:fldChar w:fldCharType="begin"/>
        </w:r>
        <w:r w:rsidRPr="002C49B9">
          <w:rPr>
            <w:b/>
            <w:bCs/>
            <w:sz w:val="22"/>
            <w:szCs w:val="22"/>
          </w:rPr>
          <w:instrText xml:space="preserve"> PAGE </w:instrText>
        </w:r>
        <w:r w:rsidRPr="002C49B9">
          <w:rPr>
            <w:b/>
            <w:bCs/>
            <w:sz w:val="22"/>
            <w:szCs w:val="22"/>
          </w:rPr>
          <w:fldChar w:fldCharType="separate"/>
        </w:r>
        <w:r w:rsidRPr="002C49B9">
          <w:rPr>
            <w:b/>
            <w:bCs/>
            <w:noProof/>
            <w:sz w:val="22"/>
            <w:szCs w:val="22"/>
          </w:rPr>
          <w:t>2</w:t>
        </w:r>
        <w:r w:rsidRPr="002C49B9">
          <w:rPr>
            <w:b/>
            <w:bCs/>
            <w:sz w:val="22"/>
            <w:szCs w:val="22"/>
          </w:rPr>
          <w:fldChar w:fldCharType="end"/>
        </w:r>
        <w:r w:rsidRPr="002C49B9">
          <w:rPr>
            <w:sz w:val="22"/>
            <w:szCs w:val="22"/>
          </w:rPr>
          <w:t xml:space="preserve"> of </w:t>
        </w:r>
        <w:r w:rsidRPr="002C49B9">
          <w:rPr>
            <w:b/>
            <w:bCs/>
            <w:sz w:val="22"/>
            <w:szCs w:val="22"/>
          </w:rPr>
          <w:fldChar w:fldCharType="begin"/>
        </w:r>
        <w:r w:rsidRPr="002C49B9">
          <w:rPr>
            <w:b/>
            <w:bCs/>
            <w:sz w:val="22"/>
            <w:szCs w:val="22"/>
          </w:rPr>
          <w:instrText xml:space="preserve"> NUMPAGES  </w:instrText>
        </w:r>
        <w:r w:rsidRPr="002C49B9">
          <w:rPr>
            <w:b/>
            <w:bCs/>
            <w:sz w:val="22"/>
            <w:szCs w:val="22"/>
          </w:rPr>
          <w:fldChar w:fldCharType="separate"/>
        </w:r>
        <w:r w:rsidRPr="002C49B9">
          <w:rPr>
            <w:b/>
            <w:bCs/>
            <w:noProof/>
            <w:sz w:val="22"/>
            <w:szCs w:val="22"/>
          </w:rPr>
          <w:t>2</w:t>
        </w:r>
        <w:r w:rsidRPr="002C49B9">
          <w:rPr>
            <w:b/>
            <w:bCs/>
            <w:sz w:val="22"/>
            <w:szCs w:val="22"/>
          </w:rPr>
          <w:fldChar w:fldCharType="end"/>
        </w:r>
        <w:r>
          <w:rPr>
            <w:b/>
            <w:bCs/>
            <w:sz w:val="22"/>
            <w:szCs w:val="22"/>
          </w:rPr>
          <w:tab/>
        </w:r>
      </w:p>
      <w:p w14:paraId="15207AEC" w14:textId="77777777" w:rsidR="002C49B9" w:rsidRDefault="002C49B9" w:rsidP="002C49B9">
        <w:pPr>
          <w:pStyle w:val="Header"/>
          <w:tabs>
            <w:tab w:val="clear" w:pos="4680"/>
            <w:tab w:val="clear" w:pos="9360"/>
            <w:tab w:val="left" w:pos="1545"/>
          </w:tabs>
          <w:rPr>
            <w:b/>
            <w:bCs/>
            <w:sz w:val="22"/>
            <w:szCs w:val="22"/>
          </w:rPr>
        </w:pPr>
      </w:p>
      <w:p w14:paraId="45BF68FE" w14:textId="6C49375E" w:rsidR="002C49B9" w:rsidRPr="002C49B9" w:rsidRDefault="002C49B9">
        <w:pPr>
          <w:pStyle w:val="Header"/>
          <w:rPr>
            <w:sz w:val="22"/>
            <w:szCs w:val="22"/>
          </w:rPr>
        </w:pPr>
        <w:r>
          <w:rPr>
            <w:noProof/>
          </w:rPr>
          <mc:AlternateContent>
            <mc:Choice Requires="wps">
              <w:drawing>
                <wp:anchor distT="0" distB="0" distL="114300" distR="114300" simplePos="0" relativeHeight="251659264" behindDoc="0" locked="0" layoutInCell="1" allowOverlap="1" wp14:anchorId="4FDE0E5A" wp14:editId="14D9809E">
                  <wp:simplePos x="0" y="0"/>
                  <wp:positionH relativeFrom="column">
                    <wp:posOffset>0</wp:posOffset>
                  </wp:positionH>
                  <wp:positionV relativeFrom="paragraph">
                    <wp:posOffset>-635</wp:posOffset>
                  </wp:positionV>
                  <wp:extent cx="6467475" cy="0"/>
                  <wp:effectExtent l="0" t="0" r="0" b="0"/>
                  <wp:wrapNone/>
                  <wp:docPr id="1457195226" name="Straight Connector 1"/>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9AFA8D"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50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" strokecolor="black [3200]" strokeweight=".5pt">
                  <v:stroke joinstyle="miter"/>
                </v:lin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143FF"/>
    <w:multiLevelType w:val="hybridMultilevel"/>
    <w:tmpl w:val="90E2D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EA7D41"/>
    <w:multiLevelType w:val="multilevel"/>
    <w:tmpl w:val="170A3DE4"/>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2" w15:restartNumberingAfterBreak="0">
    <w:nsid w:val="5ED025D0"/>
    <w:multiLevelType w:val="multilevel"/>
    <w:tmpl w:val="8E68B1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2E005F3"/>
    <w:multiLevelType w:val="hybridMultilevel"/>
    <w:tmpl w:val="D5408B82"/>
    <w:lvl w:ilvl="0" w:tplc="94CE1164">
      <w:start w:val="1"/>
      <w:numFmt w:val="decimal"/>
      <w:lvlText w:val="%1."/>
      <w:lvlJc w:val="left"/>
      <w:pPr>
        <w:ind w:left="360" w:hanging="360"/>
      </w:pPr>
      <w:rPr>
        <w:rFonts w:asciiTheme="minorHAnsi" w:hAnsiTheme="minorHAnsi" w:cstheme="minorBid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BE3E91"/>
    <w:multiLevelType w:val="multilevel"/>
    <w:tmpl w:val="F4BA1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25187935">
    <w:abstractNumId w:val="3"/>
  </w:num>
  <w:num w:numId="2" w16cid:durableId="1368868679">
    <w:abstractNumId w:val="1"/>
  </w:num>
  <w:num w:numId="3" w16cid:durableId="786242710">
    <w:abstractNumId w:val="4"/>
  </w:num>
  <w:num w:numId="4" w16cid:durableId="877664765">
    <w:abstractNumId w:val="2"/>
  </w:num>
  <w:num w:numId="5" w16cid:durableId="5893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E6"/>
    <w:rsid w:val="0000251B"/>
    <w:rsid w:val="000107B5"/>
    <w:rsid w:val="00015103"/>
    <w:rsid w:val="00030EC7"/>
    <w:rsid w:val="00032AB7"/>
    <w:rsid w:val="000465FD"/>
    <w:rsid w:val="000604F7"/>
    <w:rsid w:val="00060B58"/>
    <w:rsid w:val="000712E0"/>
    <w:rsid w:val="00087CCA"/>
    <w:rsid w:val="0009152B"/>
    <w:rsid w:val="000A2DBB"/>
    <w:rsid w:val="000A495A"/>
    <w:rsid w:val="000C3435"/>
    <w:rsid w:val="000D4F14"/>
    <w:rsid w:val="000E2C0A"/>
    <w:rsid w:val="000E6D6C"/>
    <w:rsid w:val="000F72DE"/>
    <w:rsid w:val="00100824"/>
    <w:rsid w:val="00111FA8"/>
    <w:rsid w:val="001141DC"/>
    <w:rsid w:val="00142EB2"/>
    <w:rsid w:val="0016556B"/>
    <w:rsid w:val="00175CC5"/>
    <w:rsid w:val="001800E2"/>
    <w:rsid w:val="00183BFE"/>
    <w:rsid w:val="001947A2"/>
    <w:rsid w:val="001D7783"/>
    <w:rsid w:val="001E3EE7"/>
    <w:rsid w:val="00215B05"/>
    <w:rsid w:val="0022641C"/>
    <w:rsid w:val="002272E7"/>
    <w:rsid w:val="00282E6C"/>
    <w:rsid w:val="002A743C"/>
    <w:rsid w:val="002B1095"/>
    <w:rsid w:val="002C49B9"/>
    <w:rsid w:val="002F0455"/>
    <w:rsid w:val="002F18FB"/>
    <w:rsid w:val="00303FAF"/>
    <w:rsid w:val="0034622D"/>
    <w:rsid w:val="00355282"/>
    <w:rsid w:val="00360ABA"/>
    <w:rsid w:val="00366F76"/>
    <w:rsid w:val="0037097A"/>
    <w:rsid w:val="00385347"/>
    <w:rsid w:val="003B26F0"/>
    <w:rsid w:val="003C49C1"/>
    <w:rsid w:val="003C73A9"/>
    <w:rsid w:val="003D1125"/>
    <w:rsid w:val="003D3B85"/>
    <w:rsid w:val="003E333A"/>
    <w:rsid w:val="00405392"/>
    <w:rsid w:val="004071AF"/>
    <w:rsid w:val="00434575"/>
    <w:rsid w:val="0044704C"/>
    <w:rsid w:val="004605AB"/>
    <w:rsid w:val="00472FFE"/>
    <w:rsid w:val="0049310C"/>
    <w:rsid w:val="004B2B4C"/>
    <w:rsid w:val="004B7AC5"/>
    <w:rsid w:val="004C6783"/>
    <w:rsid w:val="004D4C91"/>
    <w:rsid w:val="004E166D"/>
    <w:rsid w:val="005054BF"/>
    <w:rsid w:val="0051627B"/>
    <w:rsid w:val="00516DA4"/>
    <w:rsid w:val="0052002B"/>
    <w:rsid w:val="00522502"/>
    <w:rsid w:val="00522725"/>
    <w:rsid w:val="005411E1"/>
    <w:rsid w:val="0054735B"/>
    <w:rsid w:val="005525C7"/>
    <w:rsid w:val="0057007A"/>
    <w:rsid w:val="00571CFD"/>
    <w:rsid w:val="005728DF"/>
    <w:rsid w:val="005F28C6"/>
    <w:rsid w:val="005F5CAC"/>
    <w:rsid w:val="005F65A4"/>
    <w:rsid w:val="005F73C8"/>
    <w:rsid w:val="006066FA"/>
    <w:rsid w:val="0064632B"/>
    <w:rsid w:val="00686141"/>
    <w:rsid w:val="00690123"/>
    <w:rsid w:val="006A7C19"/>
    <w:rsid w:val="006B218E"/>
    <w:rsid w:val="006B3CCB"/>
    <w:rsid w:val="006C4443"/>
    <w:rsid w:val="006F7468"/>
    <w:rsid w:val="00725550"/>
    <w:rsid w:val="00730355"/>
    <w:rsid w:val="00733523"/>
    <w:rsid w:val="007356E3"/>
    <w:rsid w:val="00736737"/>
    <w:rsid w:val="007A3DB1"/>
    <w:rsid w:val="007B659C"/>
    <w:rsid w:val="007D203C"/>
    <w:rsid w:val="007F2AEF"/>
    <w:rsid w:val="007F3C29"/>
    <w:rsid w:val="0081298A"/>
    <w:rsid w:val="00830A4C"/>
    <w:rsid w:val="008310DF"/>
    <w:rsid w:val="008462D9"/>
    <w:rsid w:val="008479F5"/>
    <w:rsid w:val="00865645"/>
    <w:rsid w:val="008752AC"/>
    <w:rsid w:val="008759B2"/>
    <w:rsid w:val="008A089E"/>
    <w:rsid w:val="008A1E06"/>
    <w:rsid w:val="008A4847"/>
    <w:rsid w:val="008F7477"/>
    <w:rsid w:val="009415E8"/>
    <w:rsid w:val="00967B8F"/>
    <w:rsid w:val="009F71E6"/>
    <w:rsid w:val="00A0107C"/>
    <w:rsid w:val="00A23B99"/>
    <w:rsid w:val="00A442BC"/>
    <w:rsid w:val="00A535F4"/>
    <w:rsid w:val="00A627DA"/>
    <w:rsid w:val="00A8034D"/>
    <w:rsid w:val="00AD243B"/>
    <w:rsid w:val="00AD418F"/>
    <w:rsid w:val="00AE5396"/>
    <w:rsid w:val="00AF1B3C"/>
    <w:rsid w:val="00B03E79"/>
    <w:rsid w:val="00B121A6"/>
    <w:rsid w:val="00B50DD6"/>
    <w:rsid w:val="00B510B5"/>
    <w:rsid w:val="00B774CF"/>
    <w:rsid w:val="00BA3BB1"/>
    <w:rsid w:val="00BC298B"/>
    <w:rsid w:val="00BC4C56"/>
    <w:rsid w:val="00BD5271"/>
    <w:rsid w:val="00BD7CE3"/>
    <w:rsid w:val="00BF76A2"/>
    <w:rsid w:val="00C10CE5"/>
    <w:rsid w:val="00C10E1B"/>
    <w:rsid w:val="00C1150B"/>
    <w:rsid w:val="00C20C0A"/>
    <w:rsid w:val="00C36B7E"/>
    <w:rsid w:val="00C619D2"/>
    <w:rsid w:val="00C66551"/>
    <w:rsid w:val="00C673DE"/>
    <w:rsid w:val="00C827B7"/>
    <w:rsid w:val="00CA3D49"/>
    <w:rsid w:val="00CA5BC3"/>
    <w:rsid w:val="00CB5D5D"/>
    <w:rsid w:val="00CC1147"/>
    <w:rsid w:val="00CC1327"/>
    <w:rsid w:val="00CC483F"/>
    <w:rsid w:val="00CC583B"/>
    <w:rsid w:val="00CE37F2"/>
    <w:rsid w:val="00D01B65"/>
    <w:rsid w:val="00D04B04"/>
    <w:rsid w:val="00D10A91"/>
    <w:rsid w:val="00D417F8"/>
    <w:rsid w:val="00D60E46"/>
    <w:rsid w:val="00D90FD7"/>
    <w:rsid w:val="00DD1033"/>
    <w:rsid w:val="00DE5186"/>
    <w:rsid w:val="00DE7F69"/>
    <w:rsid w:val="00E0443C"/>
    <w:rsid w:val="00E223BE"/>
    <w:rsid w:val="00E31782"/>
    <w:rsid w:val="00E73C32"/>
    <w:rsid w:val="00E8545B"/>
    <w:rsid w:val="00E9129B"/>
    <w:rsid w:val="00E94FCD"/>
    <w:rsid w:val="00EA36B2"/>
    <w:rsid w:val="00EA3DE9"/>
    <w:rsid w:val="00EC5381"/>
    <w:rsid w:val="00EF59C2"/>
    <w:rsid w:val="00F3563E"/>
    <w:rsid w:val="00F400CF"/>
    <w:rsid w:val="00F45F34"/>
    <w:rsid w:val="00F50FA2"/>
    <w:rsid w:val="00F52FB6"/>
    <w:rsid w:val="00F929C1"/>
    <w:rsid w:val="00FC32A8"/>
    <w:rsid w:val="00FD3B19"/>
    <w:rsid w:val="00FD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0F3C"/>
  <w15:chartTrackingRefBased/>
  <w15:docId w15:val="{7D4487E9-08A5-4DB4-97EB-A34F1EF1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E6"/>
  </w:style>
  <w:style w:type="paragraph" w:styleId="Heading1">
    <w:name w:val="heading 1"/>
    <w:basedOn w:val="Normal"/>
    <w:next w:val="Normal"/>
    <w:link w:val="Heading1Char"/>
    <w:uiPriority w:val="9"/>
    <w:qFormat/>
    <w:rsid w:val="009F7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1E6"/>
    <w:rPr>
      <w:rFonts w:eastAsiaTheme="majorEastAsia" w:cstheme="majorBidi"/>
      <w:color w:val="272727" w:themeColor="text1" w:themeTint="D8"/>
    </w:rPr>
  </w:style>
  <w:style w:type="paragraph" w:styleId="Title">
    <w:name w:val="Title"/>
    <w:basedOn w:val="Normal"/>
    <w:next w:val="Normal"/>
    <w:link w:val="TitleChar"/>
    <w:uiPriority w:val="10"/>
    <w:qFormat/>
    <w:rsid w:val="009F7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1E6"/>
    <w:pPr>
      <w:spacing w:before="160"/>
      <w:jc w:val="center"/>
    </w:pPr>
    <w:rPr>
      <w:i/>
      <w:iCs/>
      <w:color w:val="404040" w:themeColor="text1" w:themeTint="BF"/>
    </w:rPr>
  </w:style>
  <w:style w:type="character" w:customStyle="1" w:styleId="QuoteChar">
    <w:name w:val="Quote Char"/>
    <w:basedOn w:val="DefaultParagraphFont"/>
    <w:link w:val="Quote"/>
    <w:uiPriority w:val="29"/>
    <w:rsid w:val="009F71E6"/>
    <w:rPr>
      <w:i/>
      <w:iCs/>
      <w:color w:val="404040" w:themeColor="text1" w:themeTint="BF"/>
    </w:rPr>
  </w:style>
  <w:style w:type="paragraph" w:styleId="ListParagraph">
    <w:name w:val="List Paragraph"/>
    <w:basedOn w:val="Normal"/>
    <w:uiPriority w:val="34"/>
    <w:qFormat/>
    <w:rsid w:val="009F71E6"/>
    <w:pPr>
      <w:ind w:left="720"/>
      <w:contextualSpacing/>
    </w:pPr>
  </w:style>
  <w:style w:type="character" w:styleId="IntenseEmphasis">
    <w:name w:val="Intense Emphasis"/>
    <w:basedOn w:val="DefaultParagraphFont"/>
    <w:uiPriority w:val="21"/>
    <w:qFormat/>
    <w:rsid w:val="009F71E6"/>
    <w:rPr>
      <w:i/>
      <w:iCs/>
      <w:color w:val="0F4761" w:themeColor="accent1" w:themeShade="BF"/>
    </w:rPr>
  </w:style>
  <w:style w:type="paragraph" w:styleId="IntenseQuote">
    <w:name w:val="Intense Quote"/>
    <w:basedOn w:val="Normal"/>
    <w:next w:val="Normal"/>
    <w:link w:val="IntenseQuoteChar"/>
    <w:uiPriority w:val="30"/>
    <w:qFormat/>
    <w:rsid w:val="009F7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1E6"/>
    <w:rPr>
      <w:i/>
      <w:iCs/>
      <w:color w:val="0F4761" w:themeColor="accent1" w:themeShade="BF"/>
    </w:rPr>
  </w:style>
  <w:style w:type="character" w:styleId="IntenseReference">
    <w:name w:val="Intense Reference"/>
    <w:basedOn w:val="DefaultParagraphFont"/>
    <w:uiPriority w:val="32"/>
    <w:qFormat/>
    <w:rsid w:val="009F71E6"/>
    <w:rPr>
      <w:b/>
      <w:bCs/>
      <w:smallCaps/>
      <w:color w:val="0F4761" w:themeColor="accent1" w:themeShade="BF"/>
      <w:spacing w:val="5"/>
    </w:rPr>
  </w:style>
  <w:style w:type="paragraph" w:styleId="Header">
    <w:name w:val="header"/>
    <w:basedOn w:val="Normal"/>
    <w:link w:val="HeaderChar"/>
    <w:uiPriority w:val="99"/>
    <w:unhideWhenUsed/>
    <w:rsid w:val="009F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1E6"/>
  </w:style>
  <w:style w:type="paragraph" w:styleId="Footer">
    <w:name w:val="footer"/>
    <w:basedOn w:val="Normal"/>
    <w:link w:val="FooterChar"/>
    <w:uiPriority w:val="99"/>
    <w:unhideWhenUsed/>
    <w:rsid w:val="009F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1E6"/>
  </w:style>
  <w:style w:type="character" w:styleId="Hyperlink">
    <w:name w:val="Hyperlink"/>
    <w:basedOn w:val="DefaultParagraphFont"/>
    <w:uiPriority w:val="99"/>
    <w:unhideWhenUsed/>
    <w:rsid w:val="00EF59C2"/>
    <w:rPr>
      <w:color w:val="467886" w:themeColor="hyperlink"/>
      <w:u w:val="single"/>
    </w:rPr>
  </w:style>
  <w:style w:type="character" w:styleId="UnresolvedMention">
    <w:name w:val="Unresolved Mention"/>
    <w:basedOn w:val="DefaultParagraphFont"/>
    <w:uiPriority w:val="99"/>
    <w:semiHidden/>
    <w:unhideWhenUsed/>
    <w:rsid w:val="00EF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ces.ed.gov/programs/coe/indicator/coi/high-school-graduation-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disability-inclusion/barriers/?CDC_AAref_Val=https://www.cdc.gov/ncbddd/disabilityandhealth/disability-barrier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1016/j.ssmhs.2024.100009"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dd.nationalcoreindica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0f232c-c2d7-4550-bf72-de954183db5c" xsi:nil="true"/>
    <lcf76f155ced4ddcb4097134ff3c332f xmlns="396d7cfd-ffd7-4058-a797-750d2b264e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F4B720F181F14BA607BCBCEF7BC8B4" ma:contentTypeVersion="13" ma:contentTypeDescription="Create a new document." ma:contentTypeScope="" ma:versionID="94b9afaac3c95805a299a7c3fcd83c97">
  <xsd:schema xmlns:xsd="http://www.w3.org/2001/XMLSchema" xmlns:xs="http://www.w3.org/2001/XMLSchema" xmlns:p="http://schemas.microsoft.com/office/2006/metadata/properties" xmlns:ns2="396d7cfd-ffd7-4058-a797-750d2b264eb3" xmlns:ns3="580f232c-c2d7-4550-bf72-de954183db5c" targetNamespace="http://schemas.microsoft.com/office/2006/metadata/properties" ma:root="true" ma:fieldsID="0527e67c021264b35197a30e3b0bf522" ns2:_="" ns3:_="">
    <xsd:import namespace="396d7cfd-ffd7-4058-a797-750d2b264eb3"/>
    <xsd:import namespace="580f232c-c2d7-4550-bf72-de954183db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d7cfd-ffd7-4058-a797-750d2b264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e6e69a-ff6f-40af-aa41-ffaf833514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f232c-c2d7-4550-bf72-de954183db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e4aeb7-7215-486d-8d35-c597f2a74677}" ma:internalName="TaxCatchAll" ma:showField="CatchAllData" ma:web="580f232c-c2d7-4550-bf72-de954183d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E48A2-67F0-431B-94E6-735C0496A078}">
  <ds:schemaRefs>
    <ds:schemaRef ds:uri="http://schemas.microsoft.com/sharepoint/v3/contenttype/forms"/>
  </ds:schemaRefs>
</ds:datastoreItem>
</file>

<file path=customXml/itemProps2.xml><?xml version="1.0" encoding="utf-8"?>
<ds:datastoreItem xmlns:ds="http://schemas.openxmlformats.org/officeDocument/2006/customXml" ds:itemID="{DE34D397-A2E4-42AA-94E3-C13D5C348708}">
  <ds:schemaRefs>
    <ds:schemaRef ds:uri="http://schemas.microsoft.com/office/infopath/2007/PartnerControls"/>
    <ds:schemaRef ds:uri="http://purl.org/dc/dcmitype/"/>
    <ds:schemaRef ds:uri="396d7cfd-ffd7-4058-a797-750d2b264eb3"/>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80f232c-c2d7-4550-bf72-de954183db5c"/>
    <ds:schemaRef ds:uri="http://purl.org/dc/terms/"/>
  </ds:schemaRefs>
</ds:datastoreItem>
</file>

<file path=customXml/itemProps3.xml><?xml version="1.0" encoding="utf-8"?>
<ds:datastoreItem xmlns:ds="http://schemas.openxmlformats.org/officeDocument/2006/customXml" ds:itemID="{2066DCB8-7D23-40A8-BBAF-EFC430EF5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d7cfd-ffd7-4058-a797-750d2b264eb3"/>
    <ds:schemaRef ds:uri="580f232c-c2d7-4550-bf72-de954183d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Nygren</dc:creator>
  <cp:keywords/>
  <dc:description/>
  <cp:lastModifiedBy>Maggie Nygren</cp:lastModifiedBy>
  <cp:revision>29</cp:revision>
  <cp:lastPrinted>2025-05-23T18:28:00Z</cp:lastPrinted>
  <dcterms:created xsi:type="dcterms:W3CDTF">2025-05-23T16:18:00Z</dcterms:created>
  <dcterms:modified xsi:type="dcterms:W3CDTF">2025-05-23T18:28:00Z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0x01010036F4B720F181F14BA607BCBCEF7BC8B4</vt:lpwstr>
  </property>
  <property fmtid="{D5CDD505-2E9C-101B-9397-08002B2CF9AE}" pid="3" name="MediaServiceImageTags">
    <vt:lpwstr/>
  </property>
</Properties>
</file>